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w:t>
      </w:r>
      <w:r w:rsidDel="00000000" w:rsidR="00000000" w:rsidRPr="00000000">
        <w:rPr>
          <w:rFonts w:ascii="Arial" w:cs="Arial" w:eastAsia="Arial" w:hAnsi="Arial"/>
          <w:b w:val="1"/>
          <w:color w:val="ff0000"/>
          <w:sz w:val="20"/>
          <w:szCs w:val="20"/>
        </w:rPr>
        <w:drawing>
          <wp:inline distB="0" distT="0" distL="0" distR="0">
            <wp:extent cx="2112823" cy="872839"/>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112823" cy="8728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smallCaps w:val="1"/>
          <w:sz w:val="20"/>
          <w:szCs w:val="20"/>
        </w:rPr>
      </w:pPr>
      <w:r w:rsidDel="00000000" w:rsidR="00000000" w:rsidRPr="00000000">
        <w:rPr>
          <w:rtl w:val="0"/>
        </w:rPr>
      </w:r>
    </w:p>
    <w:tbl>
      <w:tblPr>
        <w:tblStyle w:val="Table1"/>
        <w:tblW w:w="829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58"/>
        <w:gridCol w:w="3420"/>
        <w:gridCol w:w="3420"/>
        <w:tblGridChange w:id="0">
          <w:tblGrid>
            <w:gridCol w:w="1458"/>
            <w:gridCol w:w="3420"/>
            <w:gridCol w:w="3420"/>
          </w:tblGrid>
        </w:tblGridChange>
      </w:tblGrid>
      <w:tr>
        <w:tc>
          <w:tcPr/>
          <w:p w:rsidR="00000000" w:rsidDel="00000000" w:rsidP="00000000" w:rsidRDefault="00000000" w:rsidRPr="00000000" w14:paraId="00000004">
            <w:pPr>
              <w:rPr>
                <w:rFonts w:ascii="Arial" w:cs="Arial" w:eastAsia="Arial" w:hAnsi="Arial"/>
                <w:color w:val="5f5f5f"/>
              </w:rPr>
            </w:pPr>
            <w:r w:rsidDel="00000000" w:rsidR="00000000" w:rsidRPr="00000000">
              <w:rPr>
                <w:rFonts w:ascii="Arial" w:cs="Arial" w:eastAsia="Arial" w:hAnsi="Arial"/>
                <w:b w:val="1"/>
                <w:rtl w:val="0"/>
              </w:rPr>
              <w:t xml:space="preserve">Contacts</w:t>
            </w:r>
            <w:r w:rsidDel="00000000" w:rsidR="00000000" w:rsidRPr="00000000">
              <w:rPr>
                <w:rFonts w:ascii="Arial" w:cs="Arial" w:eastAsia="Arial" w:hAnsi="Arial"/>
                <w:rtl w:val="0"/>
              </w:rPr>
              <w:t xml:space="preserve">:</w:t>
            </w:r>
            <w:r w:rsidDel="00000000" w:rsidR="00000000" w:rsidRPr="00000000">
              <w:rPr>
                <w:rtl w:val="0"/>
              </w:rPr>
            </w:r>
          </w:p>
        </w:tc>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Elizabeth Harding</w:t>
            </w:r>
          </w:p>
        </w:tc>
        <w:tc>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Nicole Main</w:t>
            </w:r>
          </w:p>
        </w:tc>
      </w:tr>
      <w:tr>
        <w:trPr>
          <w:trHeight w:val="60" w:hRule="atLeast"/>
        </w:trPr>
        <w:tc>
          <w:tcPr/>
          <w:p w:rsidR="00000000" w:rsidDel="00000000" w:rsidP="00000000" w:rsidRDefault="00000000" w:rsidRPr="00000000" w14:paraId="00000007">
            <w:pPr>
              <w:rPr>
                <w:rFonts w:ascii="Arial" w:cs="Arial" w:eastAsia="Arial" w:hAnsi="Arial"/>
                <w:b w:val="1"/>
                <w:color w:val="5f5f5f"/>
              </w:rPr>
            </w:pPr>
            <w:r w:rsidDel="00000000" w:rsidR="00000000" w:rsidRPr="00000000">
              <w:rPr>
                <w:rtl w:val="0"/>
              </w:rPr>
            </w:r>
          </w:p>
        </w:tc>
        <w:tc>
          <w:tcPr/>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rtl w:val="0"/>
              </w:rPr>
              <w:t xml:space="preserve">+6012 220 5703</w:t>
            </w:r>
            <w:r w:rsidDel="00000000" w:rsidR="00000000" w:rsidRPr="00000000">
              <w:rPr>
                <w:rtl w:val="0"/>
              </w:rPr>
            </w:r>
          </w:p>
        </w:tc>
        <w:tc>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+6012 567 0129</w:t>
            </w:r>
          </w:p>
        </w:tc>
      </w:tr>
      <w:tr>
        <w:tc>
          <w:tcPr/>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rPr>
                <w:rFonts w:ascii="Arial" w:cs="Arial" w:eastAsia="Arial" w:hAnsi="Arial"/>
                <w:b w:val="1"/>
              </w:rPr>
            </w:pPr>
            <w:hyperlink r:id="rId7">
              <w:r w:rsidDel="00000000" w:rsidR="00000000" w:rsidRPr="00000000">
                <w:rPr>
                  <w:rFonts w:ascii="Arial" w:cs="Arial" w:eastAsia="Arial" w:hAnsi="Arial"/>
                  <w:color w:val="0000ff"/>
                  <w:u w:val="single"/>
                  <w:rtl w:val="0"/>
                </w:rPr>
                <w:t xml:space="preserve">elizabeth@madhat.asia</w:t>
              </w:r>
            </w:hyperlink>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00C">
            <w:pPr>
              <w:rPr>
                <w:rFonts w:ascii="Arial" w:cs="Arial" w:eastAsia="Arial" w:hAnsi="Arial"/>
                <w:color w:val="0000ff"/>
                <w:u w:val="single"/>
              </w:rPr>
            </w:pPr>
            <w:r w:rsidDel="00000000" w:rsidR="00000000" w:rsidRPr="00000000">
              <w:rPr>
                <w:rFonts w:ascii="Arial" w:cs="Arial" w:eastAsia="Arial" w:hAnsi="Arial"/>
                <w:color w:val="0000ff"/>
                <w:u w:val="single"/>
                <w:rtl w:val="0"/>
              </w:rPr>
              <w:t xml:space="preserve">nicole@madhat.asia</w:t>
            </w:r>
          </w:p>
        </w:tc>
      </w:tr>
    </w:tbl>
    <w:p w:rsidR="00000000" w:rsidDel="00000000" w:rsidP="00000000" w:rsidRDefault="00000000" w:rsidRPr="00000000" w14:paraId="0000000D">
      <w:pPr>
        <w:spacing w:after="0" w:line="240" w:lineRule="auto"/>
        <w:rPr>
          <w:rFonts w:ascii="Arial" w:cs="Arial" w:eastAsia="Arial" w:hAnsi="Arial"/>
          <w:b w:val="1"/>
          <w:smallCaps w:val="1"/>
          <w:color w:val="595959"/>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b w:val="1"/>
          <w:smallCaps w:val="1"/>
          <w:color w:val="595959"/>
        </w:rPr>
      </w:pPr>
      <w:r w:rsidDel="00000000" w:rsidR="00000000" w:rsidRPr="00000000">
        <w:rPr>
          <w:rtl w:val="0"/>
        </w:rPr>
      </w:r>
    </w:p>
    <w:p w:rsidR="00000000" w:rsidDel="00000000" w:rsidP="00000000" w:rsidRDefault="00000000" w:rsidRPr="00000000" w14:paraId="0000000F">
      <w:pPr>
        <w:spacing w:after="0" w:line="240" w:lineRule="auto"/>
        <w:jc w:val="center"/>
        <w:rPr>
          <w:rFonts w:ascii="Arial" w:cs="Arial" w:eastAsia="Arial" w:hAnsi="Arial"/>
          <w:b w:val="1"/>
          <w:color w:val="4f2170"/>
          <w:sz w:val="36"/>
          <w:szCs w:val="36"/>
        </w:rPr>
      </w:pPr>
      <w:r w:rsidDel="00000000" w:rsidR="00000000" w:rsidRPr="00000000">
        <w:rPr>
          <w:rFonts w:ascii="Arial" w:cs="Arial" w:eastAsia="Arial" w:hAnsi="Arial"/>
          <w:b w:val="1"/>
          <w:color w:val="4f2170"/>
          <w:sz w:val="36"/>
          <w:szCs w:val="36"/>
          <w:rtl w:val="0"/>
        </w:rPr>
        <w:t xml:space="preserve">Cadbury Dairy Milk celebrates the flavours of Malaysia with limited-edition Cadbury Dairy Milk Durian</w:t>
      </w:r>
    </w:p>
    <w:p w:rsidR="00000000" w:rsidDel="00000000" w:rsidP="00000000" w:rsidRDefault="00000000" w:rsidRPr="00000000" w14:paraId="00000010">
      <w:pPr>
        <w:spacing w:after="0" w:line="240" w:lineRule="auto"/>
        <w:jc w:val="center"/>
        <w:rPr>
          <w:rFonts w:ascii="Arial" w:cs="Arial" w:eastAsia="Arial" w:hAnsi="Arial"/>
          <w:i w:val="1"/>
          <w:color w:val="4f2170"/>
          <w:sz w:val="28"/>
          <w:szCs w:val="28"/>
        </w:rPr>
      </w:pPr>
      <w:r w:rsidDel="00000000" w:rsidR="00000000" w:rsidRPr="00000000">
        <w:rPr>
          <w:rFonts w:ascii="Arial" w:cs="Arial" w:eastAsia="Arial" w:hAnsi="Arial"/>
          <w:i w:val="1"/>
          <w:color w:val="4f2170"/>
          <w:sz w:val="28"/>
          <w:szCs w:val="28"/>
          <w:rtl w:val="0"/>
        </w:rPr>
        <w:t xml:space="preserve">Malaysia’s beloved chocolate brand introduces </w:t>
        <w:br w:type="textWrapping"/>
        <w:t xml:space="preserve">its limited-edition flavour to commemorate Merdeka Day </w:t>
      </w:r>
    </w:p>
    <w:p w:rsidR="00000000" w:rsidDel="00000000" w:rsidP="00000000" w:rsidRDefault="00000000" w:rsidRPr="00000000" w14:paraId="00000011">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360" w:lineRule="auto"/>
        <w:jc w:val="both"/>
        <w:rPr>
          <w:rFonts w:ascii="Arial" w:cs="Arial" w:eastAsia="Arial" w:hAnsi="Arial"/>
          <w:color w:val="595959"/>
        </w:rPr>
      </w:pPr>
      <w:r w:rsidDel="00000000" w:rsidR="00000000" w:rsidRPr="00000000">
        <w:rPr>
          <w:rtl w:val="0"/>
        </w:rPr>
      </w:r>
    </w:p>
    <w:p w:rsidR="00000000" w:rsidDel="00000000" w:rsidP="00000000" w:rsidRDefault="00000000" w:rsidRPr="00000000" w14:paraId="00000013">
      <w:pPr>
        <w:spacing w:after="0" w:line="360" w:lineRule="auto"/>
        <w:ind w:firstLine="720"/>
        <w:jc w:val="both"/>
        <w:rPr>
          <w:rFonts w:ascii="Arial" w:cs="Arial" w:eastAsia="Arial" w:hAnsi="Arial"/>
        </w:rPr>
      </w:pPr>
      <w:bookmarkStart w:colFirst="0" w:colLast="0" w:name="_gjdgxs" w:id="0"/>
      <w:bookmarkEnd w:id="0"/>
      <w:r w:rsidDel="00000000" w:rsidR="00000000" w:rsidRPr="00000000">
        <w:rPr>
          <w:rFonts w:ascii="Arial" w:cs="Arial" w:eastAsia="Arial" w:hAnsi="Arial"/>
          <w:b w:val="1"/>
          <w:rtl w:val="0"/>
        </w:rPr>
        <w:t xml:space="preserve">KUALA LUMPUR, MALAYSIA, 19 August 2019</w:t>
      </w:r>
      <w:r w:rsidDel="00000000" w:rsidR="00000000" w:rsidRPr="00000000">
        <w:rPr>
          <w:rFonts w:ascii="Arial" w:cs="Arial" w:eastAsia="Arial" w:hAnsi="Arial"/>
          <w:rtl w:val="0"/>
        </w:rPr>
        <w:t xml:space="preserve"> – Cadbury Dairy Milk, Malaysia’s favourite confectionery brand under snacking powerhouse Mondelēz International once again commemorated their celebration of Malaysian flavours with the launch of their second localised limited-edition flavour, Cadbury Dairy Milk Durian exclusively for the Malaysian market. In an effort to continue paying homage to the celebration of Malaysian culture, Cadbury Dairy Milk once again collaborated with iconic Malaysian cartoonist, Datuk Lat, whose illustrations will be featured on the sleeves of selected Cadbury Dairy Milk products.</w:t>
      </w:r>
    </w:p>
    <w:p w:rsidR="00000000" w:rsidDel="00000000" w:rsidP="00000000" w:rsidRDefault="00000000" w:rsidRPr="00000000" w14:paraId="00000014">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The confectionary conglomerate continues to bring more delicious chocolates to the Malaysian consumers by introducing Cadbury Dairy Milk Durian which is synonymous with Malaysian culture. With its delicious blend of bold durian flavour and silky smooth milk chocolate, Cadbury Dairy Milk’s latest product invokes a nostalgic feeling of two flavours that Malaysians have grown up with and come to love.</w:t>
      </w:r>
    </w:p>
    <w:p w:rsidR="00000000" w:rsidDel="00000000" w:rsidP="00000000" w:rsidRDefault="00000000" w:rsidRPr="00000000" w14:paraId="00000016">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The experience of a trip to a Durian</w:t>
      </w:r>
      <w:r w:rsidDel="00000000" w:rsidR="00000000" w:rsidRPr="00000000">
        <w:rPr>
          <w:rFonts w:ascii="Arial" w:cs="Arial" w:eastAsia="Arial" w:hAnsi="Arial"/>
          <w:i w:val="1"/>
          <w:rtl w:val="0"/>
        </w:rPr>
        <w:t xml:space="preserve"> dusun</w:t>
      </w:r>
      <w:r w:rsidDel="00000000" w:rsidR="00000000" w:rsidRPr="00000000">
        <w:rPr>
          <w:rFonts w:ascii="Arial" w:cs="Arial" w:eastAsia="Arial" w:hAnsi="Arial"/>
          <w:rtl w:val="0"/>
        </w:rPr>
        <w:t xml:space="preserve"> or orchard is one that many Malaysians have shared with their families and friends with the intention of spending quality time with each other while savouring the exquisite taste of the King of Fruits.  In an effort to replicate this experience, Cadbury Dairy Milk organised a weekend-long event themed </w:t>
      </w:r>
      <w:r w:rsidDel="00000000" w:rsidR="00000000" w:rsidRPr="00000000">
        <w:rPr>
          <w:rFonts w:ascii="Arial" w:cs="Arial" w:eastAsia="Arial" w:hAnsi="Arial"/>
          <w:i w:val="1"/>
          <w:rtl w:val="0"/>
        </w:rPr>
        <w:t xml:space="preserve">“Dusun In The City”</w:t>
      </w:r>
      <w:r w:rsidDel="00000000" w:rsidR="00000000" w:rsidRPr="00000000">
        <w:rPr>
          <w:rFonts w:ascii="Arial" w:cs="Arial" w:eastAsia="Arial" w:hAnsi="Arial"/>
          <w:rtl w:val="0"/>
        </w:rPr>
        <w:t xml:space="preserve"> in Sunway Pyramid from 16-18 August that featured a familiar </w:t>
      </w:r>
      <w:r w:rsidDel="00000000" w:rsidR="00000000" w:rsidRPr="00000000">
        <w:rPr>
          <w:rFonts w:ascii="Arial" w:cs="Arial" w:eastAsia="Arial" w:hAnsi="Arial"/>
          <w:i w:val="1"/>
          <w:rtl w:val="0"/>
        </w:rPr>
        <w:t xml:space="preserve">dusun</w:t>
      </w:r>
      <w:r w:rsidDel="00000000" w:rsidR="00000000" w:rsidRPr="00000000">
        <w:rPr>
          <w:rFonts w:ascii="Arial" w:cs="Arial" w:eastAsia="Arial" w:hAnsi="Arial"/>
          <w:rtl w:val="0"/>
        </w:rPr>
        <w:t xml:space="preserve">-setting and nostalgic childhood games such as gasing (spinning top), and Durian bowling - a twist on the traditional </w:t>
      </w:r>
      <w:r w:rsidDel="00000000" w:rsidR="00000000" w:rsidRPr="00000000">
        <w:rPr>
          <w:rFonts w:ascii="Arial" w:cs="Arial" w:eastAsia="Arial" w:hAnsi="Arial"/>
          <w:i w:val="1"/>
          <w:rtl w:val="0"/>
        </w:rPr>
        <w:t xml:space="preserve">boling kelapa</w:t>
      </w:r>
      <w:r w:rsidDel="00000000" w:rsidR="00000000" w:rsidRPr="00000000">
        <w:rPr>
          <w:rFonts w:ascii="Arial" w:cs="Arial" w:eastAsia="Arial" w:hAnsi="Arial"/>
          <w:rtl w:val="0"/>
        </w:rPr>
        <w:t xml:space="preserve"> or coconut bowling - to allow Malaysians to reminisce and relive a truly Malaysian experience.</w:t>
      </w:r>
    </w:p>
    <w:p w:rsidR="00000000" w:rsidDel="00000000" w:rsidP="00000000" w:rsidRDefault="00000000" w:rsidRPr="00000000" w14:paraId="00000018">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Speaking at the launch of Cadbury Dairy Milk Durian, </w:t>
      </w:r>
      <w:r w:rsidDel="00000000" w:rsidR="00000000" w:rsidRPr="00000000">
        <w:rPr>
          <w:rFonts w:ascii="Arial" w:cs="Arial" w:eastAsia="Arial" w:hAnsi="Arial"/>
          <w:b w:val="1"/>
          <w:rtl w:val="0"/>
        </w:rPr>
        <w:t xml:space="preserve">Rahul Mathur, Category Manager, Malaysia</w:t>
      </w:r>
      <w:r w:rsidDel="00000000" w:rsidR="00000000" w:rsidRPr="00000000">
        <w:rPr>
          <w:rFonts w:ascii="Arial" w:cs="Arial" w:eastAsia="Arial" w:hAnsi="Arial"/>
          <w:rtl w:val="0"/>
        </w:rPr>
        <w:t xml:space="preserve"> said, “Last year proved to be a great success for us when we introduced our first localised flavour to show our appreciation and commemorate our long-established presence here in Malaysia. This year, we wanted to create a flavour that not only celebrated the flavours of Malaysia but one that also truly resonated with the nation. The delicious taste of Cadbury Dairy Milk’s iconic chocolate paired with the unique and robust taste of Durian are sure to tantalise the taste buds of our Malaysian consumers who grew up appreciating these flavours. We recognise the Malaysian pride when it comes to local delicacies and aim to continue delighting our consumers with flavours that they can be proud of.”</w:t>
      </w:r>
    </w:p>
    <w:p w:rsidR="00000000" w:rsidDel="00000000" w:rsidP="00000000" w:rsidRDefault="00000000" w:rsidRPr="00000000" w14:paraId="0000001A">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Together with the new limited-edition flavour, Cadbury Dairy Milk’s iconic flavours will once again be wrapped in customised sleeves that feature hand-drawn illustrations by Malaysian icon himself, Datuk Lat. The illustrations spotlight Lat the Kampung Boy himself in three different scenarios</w:t>
      </w:r>
      <w:r w:rsidDel="00000000" w:rsidR="00000000" w:rsidRPr="00000000">
        <w:rPr>
          <w:rFonts w:ascii="Arial" w:cs="Arial" w:eastAsia="Arial" w:hAnsi="Arial"/>
          <w:i w:val="1"/>
          <w:rtl w:val="0"/>
        </w:rPr>
        <w:t xml:space="preserve"> - </w:t>
      </w:r>
      <w:r w:rsidDel="00000000" w:rsidR="00000000" w:rsidRPr="00000000">
        <w:rPr>
          <w:rFonts w:ascii="Arial" w:cs="Arial" w:eastAsia="Arial" w:hAnsi="Arial"/>
          <w:rtl w:val="0"/>
        </w:rPr>
        <w:t xml:space="preserve">a community working harmoniously to build a bridge, a gathering to feast on durians and Lat and Epit planting a durian tree together.</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The drawings are centred around the Malaysian spirit of togetherness to help one another in a </w:t>
      </w:r>
      <w:r w:rsidDel="00000000" w:rsidR="00000000" w:rsidRPr="00000000">
        <w:rPr>
          <w:rFonts w:ascii="Arial" w:cs="Arial" w:eastAsia="Arial" w:hAnsi="Arial"/>
          <w:i w:val="1"/>
          <w:rtl w:val="0"/>
        </w:rPr>
        <w:t xml:space="preserve">dusun </w:t>
      </w:r>
      <w:r w:rsidDel="00000000" w:rsidR="00000000" w:rsidRPr="00000000">
        <w:rPr>
          <w:rFonts w:ascii="Arial" w:cs="Arial" w:eastAsia="Arial" w:hAnsi="Arial"/>
          <w:rtl w:val="0"/>
        </w:rPr>
        <w:t xml:space="preserve">setting.</w:t>
      </w:r>
    </w:p>
    <w:p w:rsidR="00000000" w:rsidDel="00000000" w:rsidP="00000000" w:rsidRDefault="00000000" w:rsidRPr="00000000" w14:paraId="0000001C">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“I was excited to continue collaborating with Cadbury Dairy Milk for this campaign for the second year in a row. I was even more thrilled when I discovered that they were launching a Durian flavour as it’s a taste that I grew up loving as a Malaysian. This new flavour takes me back to the days when I used to visit Durian orchards with my family and spend time with them just savouring the delicious taste of the King of Fruits. My illustrations have always aimed to display the Malaysian way of life and the artworks I created for Cadbury Dairy Milk do just that by epitomising the Malaysian values of sharing and togetherness,” said </w:t>
      </w:r>
      <w:r w:rsidDel="00000000" w:rsidR="00000000" w:rsidRPr="00000000">
        <w:rPr>
          <w:rFonts w:ascii="Arial" w:cs="Arial" w:eastAsia="Arial" w:hAnsi="Arial"/>
          <w:b w:val="1"/>
          <w:rtl w:val="0"/>
        </w:rPr>
        <w:t xml:space="preserve">Datuk Lat.</w:t>
      </w:r>
      <w:r w:rsidDel="00000000" w:rsidR="00000000" w:rsidRPr="00000000">
        <w:rPr>
          <w:rtl w:val="0"/>
        </w:rPr>
      </w:r>
    </w:p>
    <w:p w:rsidR="00000000" w:rsidDel="00000000" w:rsidP="00000000" w:rsidRDefault="00000000" w:rsidRPr="00000000" w14:paraId="0000001E">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The new Cadbury Dairy Milk Durian is now available in major Hypermarkets and Supermarkets, nationwide with recommended selling price of RM8.50 for 165g from now until 30 September 2019. Limited-edition gift boxes featuring Datuk Lat’s illustrations are available exclusively on Shopee for RM42.90.</w:t>
      </w:r>
    </w:p>
    <w:p w:rsidR="00000000" w:rsidDel="00000000" w:rsidP="00000000" w:rsidRDefault="00000000" w:rsidRPr="00000000" w14:paraId="00000020">
      <w:pPr>
        <w:spacing w:after="0" w:line="360" w:lineRule="auto"/>
        <w:ind w:firstLine="72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1">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For more information on Cadbury Dairy Milk’s latest Durian flavour, check out the Facebook page at </w:t>
      </w:r>
      <w:hyperlink r:id="rId8">
        <w:r w:rsidDel="00000000" w:rsidR="00000000" w:rsidRPr="00000000">
          <w:rPr>
            <w:rFonts w:ascii="Arial" w:cs="Arial" w:eastAsia="Arial" w:hAnsi="Arial"/>
            <w:color w:val="1155cc"/>
            <w:u w:val="single"/>
            <w:rtl w:val="0"/>
          </w:rPr>
          <w:t xml:space="preserve">https://www.facebook.com/CadburyMalaysia</w:t>
        </w:r>
      </w:hyperlink>
      <w:r w:rsidDel="00000000" w:rsidR="00000000" w:rsidRPr="00000000">
        <w:rPr>
          <w:rFonts w:ascii="Arial" w:cs="Arial" w:eastAsia="Arial" w:hAnsi="Arial"/>
          <w:rtl w:val="0"/>
        </w:rPr>
        <w:t xml:space="preserve"> and Instagram page at </w:t>
      </w:r>
      <w:hyperlink r:id="rId9">
        <w:r w:rsidDel="00000000" w:rsidR="00000000" w:rsidRPr="00000000">
          <w:rPr>
            <w:rFonts w:ascii="Arial" w:cs="Arial" w:eastAsia="Arial" w:hAnsi="Arial"/>
            <w:color w:val="1155cc"/>
            <w:u w:val="single"/>
            <w:rtl w:val="0"/>
          </w:rPr>
          <w:t xml:space="preserve">https://www.instagram.com/cadbury_my/</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23">
      <w:pPr>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024">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Malaysia</w:t>
      </w:r>
    </w:p>
    <w:p w:rsidR="00000000" w:rsidDel="00000000" w:rsidP="00000000" w:rsidRDefault="00000000" w:rsidRPr="00000000" w14:paraId="00000026">
      <w:pPr>
        <w:spacing w:after="0" w:lineRule="auto"/>
        <w:jc w:val="both"/>
        <w:rPr>
          <w:rFonts w:ascii="Arial" w:cs="Arial" w:eastAsia="Arial" w:hAnsi="Arial"/>
        </w:rPr>
      </w:pPr>
      <w:r w:rsidDel="00000000" w:rsidR="00000000" w:rsidRPr="00000000">
        <w:rPr>
          <w:rFonts w:ascii="Arial" w:cs="Arial" w:eastAsia="Arial" w:hAnsi="Arial"/>
          <w:rtl w:val="0"/>
        </w:rPr>
        <w:t xml:space="preserve">Mondelēz International (Malaysia) is part of the Mondelēz International group of companies which empowers people to snack right across 8 countries within Southeast Asia. With three manufacturing plants in Shah Alam and Prai, Mondelēz is leading the future of snacking through our iconic and well-loved brands such as Oreo, belVita, Cadbury Dairy Milk, Tiger Biskuat, Jacob’s, Chipsmore, Choclairs and Twisties. The guaranteed quality, safety and taste of our wholesome snacks ensure that all our consumers will be able to reach for the right snack, for the right moment, made the right way. Visit </w:t>
      </w:r>
      <w:hyperlink r:id="rId10">
        <w:r w:rsidDel="00000000" w:rsidR="00000000" w:rsidRPr="00000000">
          <w:rPr>
            <w:rFonts w:ascii="Arial" w:cs="Arial" w:eastAsia="Arial" w:hAnsi="Arial"/>
            <w:b w:val="1"/>
            <w:color w:val="0000ff"/>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1">
        <w:r w:rsidDel="00000000" w:rsidR="00000000" w:rsidRPr="00000000">
          <w:rPr>
            <w:rFonts w:ascii="Arial" w:cs="Arial" w:eastAsia="Arial" w:hAnsi="Arial"/>
            <w:b w:val="1"/>
            <w:color w:val="0000ff"/>
            <w:u w:val="single"/>
            <w:rtl w:val="0"/>
          </w:rPr>
          <w:t xml:space="preserve">www.twitter.com/MDLZ</w:t>
        </w:r>
      </w:hyperlink>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27">
      <w:pPr>
        <w:spacing w:after="0" w:lineRule="auto"/>
        <w:jc w:val="both"/>
        <w:rPr>
          <w:rFonts w:ascii="Arial" w:cs="Arial" w:eastAsia="Arial" w:hAnsi="Arial"/>
          <w:strike w:val="1"/>
          <w:highlight w:val="yellow"/>
        </w:rPr>
      </w:pPr>
      <w:r w:rsidDel="00000000" w:rsidR="00000000" w:rsidRPr="00000000">
        <w:rPr>
          <w:rFonts w:ascii="Arial" w:cs="Arial" w:eastAsia="Arial" w:hAnsi="Arial"/>
          <w:highlight w:val="yellow"/>
          <w:rtl w:val="0"/>
        </w:rPr>
        <w:br w:type="textWrapping"/>
      </w:r>
      <w:r w:rsidDel="00000000" w:rsidR="00000000" w:rsidRPr="00000000">
        <w:rPr>
          <w:rtl w:val="0"/>
        </w:rPr>
      </w:r>
    </w:p>
    <w:p w:rsidR="00000000" w:rsidDel="00000000" w:rsidP="00000000" w:rsidRDefault="00000000" w:rsidRPr="00000000" w14:paraId="00000028">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International</w:t>
      </w:r>
    </w:p>
    <w:p w:rsidR="00000000" w:rsidDel="00000000" w:rsidP="00000000" w:rsidRDefault="00000000" w:rsidRPr="00000000" w14:paraId="00000029">
      <w:pPr>
        <w:spacing w:after="60" w:line="240" w:lineRule="auto"/>
        <w:ind w:firstLine="720"/>
        <w:jc w:val="both"/>
        <w:rPr>
          <w:rFonts w:ascii="Arial" w:cs="Arial" w:eastAsia="Arial" w:hAnsi="Arial"/>
          <w:b w:val="1"/>
        </w:rPr>
      </w:pPr>
      <w:r w:rsidDel="00000000" w:rsidR="00000000" w:rsidRPr="00000000">
        <w:rPr>
          <w:rFonts w:ascii="Arial" w:cs="Arial" w:eastAsia="Arial" w:hAnsi="Arial"/>
          <w:rtl w:val="0"/>
        </w:rPr>
        <w:t xml:space="preserve">Mondelēz International, Inc. (NASDAQ: MDLZ) empowers people to snack right in approximately 160 countries around the world. With 2017 net revenues of approximately $26 billion, MDLZ is leading the future of snacking with iconic global and local brands such as </w:t>
      </w:r>
      <w:r w:rsidDel="00000000" w:rsidR="00000000" w:rsidRPr="00000000">
        <w:rPr>
          <w:rFonts w:ascii="Arial" w:cs="Arial" w:eastAsia="Arial" w:hAnsi="Arial"/>
          <w:i w:val="1"/>
          <w:rtl w:val="0"/>
        </w:rPr>
        <w:t xml:space="preserve">Oreo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belVita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LU</w:t>
      </w:r>
      <w:r w:rsidDel="00000000" w:rsidR="00000000" w:rsidRPr="00000000">
        <w:rPr>
          <w:rFonts w:ascii="Arial" w:cs="Arial" w:eastAsia="Arial" w:hAnsi="Arial"/>
          <w:rtl w:val="0"/>
        </w:rPr>
        <w:t xml:space="preserve"> biscuits; </w:t>
      </w:r>
      <w:r w:rsidDel="00000000" w:rsidR="00000000" w:rsidRPr="00000000">
        <w:rPr>
          <w:rFonts w:ascii="Arial" w:cs="Arial" w:eastAsia="Arial" w:hAnsi="Arial"/>
          <w:i w:val="1"/>
          <w:rtl w:val="0"/>
        </w:rPr>
        <w:t xml:space="preserve">Cadbury Dairy Milk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Milka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Toblerone</w:t>
      </w:r>
      <w:r w:rsidDel="00000000" w:rsidR="00000000" w:rsidRPr="00000000">
        <w:rPr>
          <w:rFonts w:ascii="Arial" w:cs="Arial" w:eastAsia="Arial" w:hAnsi="Arial"/>
          <w:rtl w:val="0"/>
        </w:rPr>
        <w:t xml:space="preserve"> chocolate; </w:t>
      </w:r>
      <w:r w:rsidDel="00000000" w:rsidR="00000000" w:rsidRPr="00000000">
        <w:rPr>
          <w:rFonts w:ascii="Arial" w:cs="Arial" w:eastAsia="Arial" w:hAnsi="Arial"/>
          <w:i w:val="1"/>
          <w:rtl w:val="0"/>
        </w:rPr>
        <w:t xml:space="preserve">Sour Patch Kids</w:t>
      </w:r>
      <w:r w:rsidDel="00000000" w:rsidR="00000000" w:rsidRPr="00000000">
        <w:rPr>
          <w:rFonts w:ascii="Arial" w:cs="Arial" w:eastAsia="Arial" w:hAnsi="Arial"/>
          <w:rtl w:val="0"/>
        </w:rPr>
        <w:t xml:space="preserve"> candy and </w:t>
      </w:r>
      <w:r w:rsidDel="00000000" w:rsidR="00000000" w:rsidRPr="00000000">
        <w:rPr>
          <w:rFonts w:ascii="Arial" w:cs="Arial" w:eastAsia="Arial" w:hAnsi="Arial"/>
          <w:i w:val="1"/>
          <w:rtl w:val="0"/>
        </w:rPr>
        <w:t xml:space="preserve">Trident</w:t>
      </w:r>
      <w:r w:rsidDel="00000000" w:rsidR="00000000" w:rsidRPr="00000000">
        <w:rPr>
          <w:rFonts w:ascii="Arial" w:cs="Arial" w:eastAsia="Arial" w:hAnsi="Arial"/>
          <w:rtl w:val="0"/>
        </w:rPr>
        <w:t xml:space="preserve"> gum. Mondelēz International is a proud member of the Standard and Poor’s 500, Nasdaq 100 and Dow Jones Sustainability Index. Visit</w:t>
      </w:r>
      <w:r w:rsidDel="00000000" w:rsidR="00000000" w:rsidRPr="00000000">
        <w:rPr>
          <w:rFonts w:ascii="Arial" w:cs="Arial" w:eastAsia="Arial" w:hAnsi="Arial"/>
          <w:b w:val="1"/>
          <w:rtl w:val="0"/>
        </w:rPr>
        <w:t xml:space="preserve"> </w:t>
      </w:r>
      <w:hyperlink r:id="rId12">
        <w:r w:rsidDel="00000000" w:rsidR="00000000" w:rsidRPr="00000000">
          <w:rPr>
            <w:rFonts w:ascii="Arial" w:cs="Arial" w:eastAsia="Arial" w:hAnsi="Arial"/>
            <w:b w:val="1"/>
            <w:color w:val="0000ff"/>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3">
        <w:r w:rsidDel="00000000" w:rsidR="00000000" w:rsidRPr="00000000">
          <w:rPr>
            <w:rFonts w:ascii="Arial" w:cs="Arial" w:eastAsia="Arial" w:hAnsi="Arial"/>
            <w:b w:val="1"/>
            <w:color w:val="0000ff"/>
            <w:u w:val="single"/>
            <w:rtl w:val="0"/>
          </w:rPr>
          <w:t xml:space="preserve">www.twitter.com/MDLZ</w:t>
        </w:r>
      </w:hyperlink>
      <w:r w:rsidDel="00000000" w:rsidR="00000000" w:rsidRPr="00000000">
        <w:rPr>
          <w:rFonts w:ascii="Arial" w:cs="Arial" w:eastAsia="Arial" w:hAnsi="Arial"/>
          <w:b w:val="1"/>
          <w:rtl w:val="0"/>
        </w:rPr>
        <w:t xml:space="preserve">.</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jc w:val="both"/>
        <w:rPr>
          <w:rFonts w:ascii="Cambria" w:cs="Cambria" w:eastAsia="Cambria" w:hAnsi="Cambria"/>
        </w:rPr>
      </w:pPr>
      <w:r w:rsidDel="00000000" w:rsidR="00000000" w:rsidRPr="00000000">
        <w:rPr>
          <w:rFonts w:ascii="Cambria" w:cs="Cambria" w:eastAsia="Cambria" w:hAnsi="Cambria"/>
          <w:sz w:val="24"/>
          <w:szCs w:val="24"/>
        </w:rPr>
        <w:drawing>
          <wp:inline distB="0" distT="0" distL="0" distR="0">
            <wp:extent cx="2148205" cy="232410"/>
            <wp:effectExtent b="0" l="0" r="0" t="0"/>
            <wp:docPr descr="escription: https://lh5.googleusercontent.com/LVxFsZC4m7iZZbC5Ykrz19" id="2" name="image1.png"/>
            <a:graphic>
              <a:graphicData uri="http://schemas.openxmlformats.org/drawingml/2006/picture">
                <pic:pic>
                  <pic:nvPicPr>
                    <pic:cNvPr descr="escription: https://lh5.googleusercontent.com/LVxFsZC4m7iZZbC5Ykrz19" id="0" name="image1.png"/>
                    <pic:cNvPicPr preferRelativeResize="0"/>
                  </pic:nvPicPr>
                  <pic:blipFill>
                    <a:blip r:embed="rId14"/>
                    <a:srcRect b="0" l="0" r="0" t="0"/>
                    <a:stretch>
                      <a:fillRect/>
                    </a:stretch>
                  </pic:blipFill>
                  <pic:spPr>
                    <a:xfrm>
                      <a:off x="0" y="0"/>
                      <a:ext cx="2148205" cy="23241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360" w:lineRule="auto"/>
        <w:rPr>
          <w:rFonts w:ascii="Arial" w:cs="Arial" w:eastAsia="Arial" w:hAnsi="Arial"/>
          <w:color w:val="595959"/>
        </w:rPr>
      </w:pPr>
      <w:r w:rsidDel="00000000" w:rsidR="00000000" w:rsidRPr="00000000">
        <w:rPr>
          <w:rtl w:val="0"/>
        </w:rPr>
      </w:r>
    </w:p>
    <w:p w:rsidR="00000000" w:rsidDel="00000000" w:rsidP="00000000" w:rsidRDefault="00000000" w:rsidRPr="00000000" w14:paraId="0000002E">
      <w:pPr>
        <w:spacing w:after="0" w:line="360" w:lineRule="auto"/>
        <w:jc w:val="center"/>
        <w:rPr>
          <w:rFonts w:ascii="Arial" w:cs="Arial" w:eastAsia="Arial" w:hAnsi="Arial"/>
          <w:color w:val="595959"/>
        </w:rPr>
      </w:pPr>
      <w:r w:rsidDel="00000000" w:rsidR="00000000" w:rsidRPr="00000000">
        <w:rPr>
          <w:rtl w:val="0"/>
        </w:rPr>
      </w:r>
    </w:p>
    <w:sectPr>
      <w:footerReference r:id="rId15" w:type="default"/>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ambr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Verdana" w:cs="Verdana" w:eastAsia="Verdana" w:hAnsi="Verdana"/>
        <w:color w:val="000000"/>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0" w:line="240" w:lineRule="auto"/>
      <w:ind w:left="720"/>
    </w:pPr>
    <w:rPr>
      <w:rFonts w:ascii="Times New Roman" w:cs="Times New Roman" w:eastAsia="Times New Roman" w:hAnsi="Times New Roman"/>
      <w:color w:val="000000"/>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twitter.com/MDLZ" TargetMode="External"/><Relationship Id="rId10" Type="http://schemas.openxmlformats.org/officeDocument/2006/relationships/hyperlink" Target="http://www.mondelezinternational.com" TargetMode="External"/><Relationship Id="rId13" Type="http://schemas.openxmlformats.org/officeDocument/2006/relationships/hyperlink" Target="http://www.twitter.com/MDLZ" TargetMode="External"/><Relationship Id="rId12" Type="http://schemas.openxmlformats.org/officeDocument/2006/relationships/hyperlink" Target="http://www.mondelezinternationa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cadbury_my/" TargetMode="External"/><Relationship Id="rId15" Type="http://schemas.openxmlformats.org/officeDocument/2006/relationships/footer" Target="footer1.xm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elizabeth@madhat.asia" TargetMode="External"/><Relationship Id="rId8" Type="http://schemas.openxmlformats.org/officeDocument/2006/relationships/hyperlink" Target="https://www.facebook.com/CadburyMala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