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Pr>
        <w:drawing>
          <wp:inline distB="0" distT="0" distL="0" distR="0">
            <wp:extent cx="2112823" cy="872839"/>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112823" cy="8728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smallCaps w:val="1"/>
          <w:sz w:val="20"/>
          <w:szCs w:val="20"/>
        </w:rPr>
      </w:pPr>
      <w:r w:rsidDel="00000000" w:rsidR="00000000" w:rsidRPr="00000000">
        <w:rPr>
          <w:rtl w:val="0"/>
        </w:rPr>
      </w:r>
    </w:p>
    <w:tbl>
      <w:tblPr>
        <w:tblStyle w:val="Table1"/>
        <w:tblW w:w="829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58"/>
        <w:gridCol w:w="3420"/>
        <w:gridCol w:w="3420"/>
        <w:tblGridChange w:id="0">
          <w:tblGrid>
            <w:gridCol w:w="1458"/>
            <w:gridCol w:w="3420"/>
            <w:gridCol w:w="3420"/>
          </w:tblGrid>
        </w:tblGridChange>
      </w:tblGrid>
      <w:tr>
        <w:tc>
          <w:tcPr/>
          <w:p w:rsidR="00000000" w:rsidDel="00000000" w:rsidP="00000000" w:rsidRDefault="00000000" w:rsidRPr="00000000" w14:paraId="00000004">
            <w:pPr>
              <w:rPr>
                <w:rFonts w:ascii="Arial" w:cs="Arial" w:eastAsia="Arial" w:hAnsi="Arial"/>
                <w:color w:val="5f5f5f"/>
              </w:rPr>
            </w:pPr>
            <w:r w:rsidDel="00000000" w:rsidR="00000000" w:rsidRPr="00000000">
              <w:rPr>
                <w:rFonts w:ascii="Arial" w:cs="Arial" w:eastAsia="Arial" w:hAnsi="Arial"/>
                <w:b w:val="1"/>
                <w:rtl w:val="0"/>
              </w:rPr>
              <w:t xml:space="preserve">Contacts</w:t>
            </w:r>
            <w:r w:rsidDel="00000000" w:rsidR="00000000" w:rsidRPr="00000000">
              <w:rPr>
                <w:rFonts w:ascii="Arial" w:cs="Arial" w:eastAsia="Arial" w:hAnsi="Arial"/>
                <w:rtl w:val="0"/>
              </w:rPr>
              <w:t xml:space="preserve">:</w:t>
            </w:r>
            <w:r w:rsidDel="00000000" w:rsidR="00000000" w:rsidRPr="00000000">
              <w:rPr>
                <w:rtl w:val="0"/>
              </w:rPr>
            </w:r>
          </w:p>
        </w:tc>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Elizabeth Harding</w:t>
            </w:r>
          </w:p>
        </w:tc>
        <w:tc>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Nicole Main</w:t>
            </w:r>
          </w:p>
        </w:tc>
      </w:tr>
      <w:tr>
        <w:trPr>
          <w:trHeight w:val="60" w:hRule="atLeast"/>
        </w:trPr>
        <w:tc>
          <w:tcPr/>
          <w:p w:rsidR="00000000" w:rsidDel="00000000" w:rsidP="00000000" w:rsidRDefault="00000000" w:rsidRPr="00000000" w14:paraId="00000007">
            <w:pPr>
              <w:rPr>
                <w:rFonts w:ascii="Arial" w:cs="Arial" w:eastAsia="Arial" w:hAnsi="Arial"/>
                <w:b w:val="1"/>
                <w:color w:val="5f5f5f"/>
              </w:rPr>
            </w:pPr>
            <w:r w:rsidDel="00000000" w:rsidR="00000000" w:rsidRPr="00000000">
              <w:rPr>
                <w:rtl w:val="0"/>
              </w:rPr>
            </w:r>
          </w:p>
        </w:tc>
        <w:tc>
          <w:tcPr/>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rtl w:val="0"/>
              </w:rPr>
              <w:t xml:space="preserve">+6012 220 5703</w:t>
            </w:r>
            <w:r w:rsidDel="00000000" w:rsidR="00000000" w:rsidRPr="00000000">
              <w:rPr>
                <w:rtl w:val="0"/>
              </w:rPr>
            </w:r>
          </w:p>
        </w:tc>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+6012 567 0129</w:t>
            </w:r>
          </w:p>
        </w:tc>
      </w:tr>
      <w:tr>
        <w:tc>
          <w:tcPr/>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b w:val="1"/>
              </w:rPr>
            </w:pPr>
            <w:hyperlink r:id="rId7">
              <w:r w:rsidDel="00000000" w:rsidR="00000000" w:rsidRPr="00000000">
                <w:rPr>
                  <w:rFonts w:ascii="Arial" w:cs="Arial" w:eastAsia="Arial" w:hAnsi="Arial"/>
                  <w:color w:val="0000ff"/>
                  <w:u w:val="single"/>
                  <w:rtl w:val="0"/>
                </w:rPr>
                <w:t xml:space="preserve">elizabeth@madhat.asia</w:t>
              </w:r>
            </w:hyperlink>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00C">
            <w:pPr>
              <w:rPr>
                <w:rFonts w:ascii="Arial" w:cs="Arial" w:eastAsia="Arial" w:hAnsi="Arial"/>
                <w:color w:val="0000ff"/>
                <w:u w:val="single"/>
              </w:rPr>
            </w:pPr>
            <w:r w:rsidDel="00000000" w:rsidR="00000000" w:rsidRPr="00000000">
              <w:rPr>
                <w:rFonts w:ascii="Arial" w:cs="Arial" w:eastAsia="Arial" w:hAnsi="Arial"/>
                <w:color w:val="0000ff"/>
                <w:u w:val="single"/>
                <w:rtl w:val="0"/>
              </w:rPr>
              <w:t xml:space="preserve">nicole@madhat.asia</w:t>
            </w:r>
          </w:p>
        </w:tc>
      </w:tr>
    </w:tbl>
    <w:p w:rsidR="00000000" w:rsidDel="00000000" w:rsidP="00000000" w:rsidRDefault="00000000" w:rsidRPr="00000000" w14:paraId="0000000D">
      <w:pPr>
        <w:spacing w:after="0" w:line="240" w:lineRule="auto"/>
        <w:rPr>
          <w:rFonts w:ascii="Arial" w:cs="Arial" w:eastAsia="Arial" w:hAnsi="Arial"/>
          <w:b w:val="1"/>
          <w:smallCaps w:val="1"/>
          <w:color w:val="595959"/>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b w:val="1"/>
          <w:smallCaps w:val="1"/>
          <w:color w:val="595959"/>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b w:val="1"/>
          <w:color w:val="4f2170"/>
          <w:sz w:val="36"/>
          <w:szCs w:val="36"/>
        </w:rPr>
      </w:pPr>
      <w:r w:rsidDel="00000000" w:rsidR="00000000" w:rsidRPr="00000000">
        <w:rPr>
          <w:rFonts w:ascii="Arial Unicode MS" w:cs="Arial Unicode MS" w:eastAsia="Arial Unicode MS" w:hAnsi="Arial Unicode MS"/>
          <w:b w:val="1"/>
          <w:color w:val="4f2170"/>
          <w:sz w:val="36"/>
          <w:szCs w:val="36"/>
          <w:rtl w:val="0"/>
        </w:rPr>
        <w:t xml:space="preserve">Cadbury Dairy Milk向马来西亚风味致敬的限量版榴梿巧克力面市</w:t>
      </w:r>
    </w:p>
    <w:p w:rsidR="00000000" w:rsidDel="00000000" w:rsidP="00000000" w:rsidRDefault="00000000" w:rsidRPr="00000000" w14:paraId="00000010">
      <w:pPr>
        <w:spacing w:after="0" w:line="240" w:lineRule="auto"/>
        <w:jc w:val="center"/>
        <w:rPr>
          <w:rFonts w:ascii="Arial" w:cs="Arial" w:eastAsia="Arial" w:hAnsi="Arial"/>
          <w:i w:val="1"/>
          <w:color w:val="4f2170"/>
          <w:sz w:val="28"/>
          <w:szCs w:val="28"/>
        </w:rPr>
      </w:pPr>
      <w:r w:rsidDel="00000000" w:rsidR="00000000" w:rsidRPr="00000000">
        <w:rPr>
          <w:rFonts w:ascii="Arial Unicode MS" w:cs="Arial Unicode MS" w:eastAsia="Arial Unicode MS" w:hAnsi="Arial Unicode MS"/>
          <w:i w:val="1"/>
          <w:color w:val="4f2170"/>
          <w:sz w:val="28"/>
          <w:szCs w:val="28"/>
          <w:rtl w:val="0"/>
        </w:rPr>
        <w:t xml:space="preserve">马来西亚深受欢迎的巧克力品牌隆重推出独立日限量版巧克力口味 </w:t>
      </w:r>
    </w:p>
    <w:p w:rsidR="00000000" w:rsidDel="00000000" w:rsidP="00000000" w:rsidRDefault="00000000" w:rsidRPr="00000000" w14:paraId="00000011">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color w:val="595959"/>
        </w:rPr>
      </w:pPr>
      <w:bookmarkStart w:colFirst="0" w:colLast="0" w:name="_gjdgxs" w:id="0"/>
      <w:bookmarkEnd w:id="0"/>
      <w:r w:rsidDel="00000000" w:rsidR="00000000" w:rsidRPr="00000000">
        <w:rPr>
          <w:rtl w:val="0"/>
        </w:rPr>
      </w:r>
    </w:p>
    <w:p w:rsidR="00000000" w:rsidDel="00000000" w:rsidP="00000000" w:rsidRDefault="00000000" w:rsidRPr="00000000" w14:paraId="00000013">
      <w:pPr>
        <w:spacing w:after="0" w:line="360" w:lineRule="auto"/>
        <w:ind w:firstLine="720"/>
        <w:rPr>
          <w:rFonts w:ascii="Arial" w:cs="Arial" w:eastAsia="Arial" w:hAnsi="Arial"/>
        </w:rPr>
      </w:pPr>
      <w:r w:rsidDel="00000000" w:rsidR="00000000" w:rsidRPr="00000000">
        <w:rPr>
          <w:rFonts w:ascii="Arial Unicode MS" w:cs="Arial Unicode MS" w:eastAsia="Arial Unicode MS" w:hAnsi="Arial Unicode MS"/>
          <w:b w:val="1"/>
          <w:rtl w:val="0"/>
        </w:rPr>
        <w:t xml:space="preserve">（马来西亚8月19日讯）</w:t>
      </w:r>
      <w:r w:rsidDel="00000000" w:rsidR="00000000" w:rsidRPr="00000000">
        <w:rPr>
          <w:rFonts w:ascii="Arial" w:cs="Arial" w:eastAsia="Arial" w:hAnsi="Arial"/>
          <w:rtl w:val="0"/>
        </w:rPr>
        <w:t xml:space="preserve">Mondelēz International旗下的知名巧克力品牌 Cadbury再次推出本地口味的巧克力新品，这款 Cadbury Dairy Milk 榴梿巧克力将在马来西亚限量发售。为了向马来西亚文化致敬，Cadbury Dairy Milk 再度与马来西亚著名漫画家Datuk Lat 合作，在Cadbury Dairy Milk精选巧克力的特制封套印上这位漫画家的插图作品。 </w:t>
      </w:r>
    </w:p>
    <w:p w:rsidR="00000000" w:rsidDel="00000000" w:rsidP="00000000" w:rsidRDefault="00000000" w:rsidRPr="00000000" w14:paraId="00000014">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360" w:lineRule="auto"/>
        <w:ind w:firstLine="720"/>
        <w:rPr>
          <w:rFonts w:ascii="Arial" w:cs="Arial" w:eastAsia="Arial" w:hAnsi="Arial"/>
        </w:rPr>
      </w:pPr>
      <w:r w:rsidDel="00000000" w:rsidR="00000000" w:rsidRPr="00000000">
        <w:rPr>
          <w:rFonts w:ascii="Arial Unicode MS" w:cs="Arial Unicode MS" w:eastAsia="Arial Unicode MS" w:hAnsi="Arial Unicode MS"/>
          <w:rtl w:val="0"/>
        </w:rPr>
        <w:t xml:space="preserve">这家知名食品公司隆重推出能代表马来西亚文化的Cadbury Dairy Milk 榴梿巧克力，是要继续为马来西亚人带来更多美味的巧克力。最新的Cadbury Dairy Milk产品融合了香气浓郁的榴梿和丝滑牛奶巧克力，这是马来西亚人从小到大最熟悉以及最爱的两种口味。</w:t>
      </w:r>
    </w:p>
    <w:p w:rsidR="00000000" w:rsidDel="00000000" w:rsidP="00000000" w:rsidRDefault="00000000" w:rsidRPr="00000000" w14:paraId="00000016">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360" w:lineRule="auto"/>
        <w:ind w:firstLine="720"/>
        <w:rPr>
          <w:rFonts w:ascii="Arial" w:cs="Arial" w:eastAsia="Arial" w:hAnsi="Arial"/>
        </w:rPr>
      </w:pPr>
      <w:r w:rsidDel="00000000" w:rsidR="00000000" w:rsidRPr="00000000">
        <w:rPr>
          <w:rFonts w:ascii="Arial Unicode MS" w:cs="Arial Unicode MS" w:eastAsia="Arial Unicode MS" w:hAnsi="Arial Unicode MS"/>
          <w:rtl w:val="0"/>
        </w:rPr>
        <w:t xml:space="preserve">很多马来西亚人曾经和亲友一起到榴梿园品尝果王，共度美好时光。为了重现这个景象，Cadbury Dairy Milk 于8月16日至18日在双威金字塔购物广场举办主题为 “城之果园”（</w:t>
      </w:r>
      <w:r w:rsidDel="00000000" w:rsidR="00000000" w:rsidRPr="00000000">
        <w:rPr>
          <w:rFonts w:ascii="Arial" w:cs="Arial" w:eastAsia="Arial" w:hAnsi="Arial"/>
          <w:i w:val="1"/>
          <w:rtl w:val="0"/>
        </w:rPr>
        <w:t xml:space="preserve">Dusun In The City</w:t>
      </w:r>
      <w:r w:rsidDel="00000000" w:rsidR="00000000" w:rsidRPr="00000000">
        <w:rPr>
          <w:rFonts w:ascii="Arial Unicode MS" w:cs="Arial Unicode MS" w:eastAsia="Arial Unicode MS" w:hAnsi="Arial Unicode MS"/>
          <w:rtl w:val="0"/>
        </w:rPr>
        <w:t xml:space="preserve">）的周末活动。除了以甘榜为背景，现场还备有各种童年游戏，例如打陀螺及榴梿保龄球（灵感源自椰子保龄球） ，让马来西亚人回味这种真正的马来西亚体验。 </w:t>
      </w:r>
    </w:p>
    <w:p w:rsidR="00000000" w:rsidDel="00000000" w:rsidP="00000000" w:rsidRDefault="00000000" w:rsidRPr="00000000" w14:paraId="00000018">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360" w:lineRule="auto"/>
        <w:ind w:firstLine="720"/>
        <w:rPr>
          <w:rFonts w:ascii="Arial" w:cs="Arial" w:eastAsia="Arial" w:hAnsi="Arial"/>
        </w:rPr>
      </w:pPr>
      <w:r w:rsidDel="00000000" w:rsidR="00000000" w:rsidRPr="00000000">
        <w:rPr>
          <w:rFonts w:ascii="Arial Unicode MS" w:cs="Arial Unicode MS" w:eastAsia="Arial Unicode MS" w:hAnsi="Arial Unicode MS"/>
          <w:b w:val="1"/>
          <w:rtl w:val="0"/>
        </w:rPr>
        <w:t xml:space="preserve">马来西亚巧克力部经理Rahul Mathur</w:t>
      </w:r>
      <w:r w:rsidDel="00000000" w:rsidR="00000000" w:rsidRPr="00000000">
        <w:rPr>
          <w:rFonts w:ascii="Arial Unicode MS" w:cs="Arial Unicode MS" w:eastAsia="Arial Unicode MS" w:hAnsi="Arial Unicode MS"/>
          <w:rtl w:val="0"/>
        </w:rPr>
        <w:t xml:space="preserve"> 在Cadbury Dairy Milk榴梿巧克力的推介仪式上说：“去年，我们推出了第一款本地口味巧克力，除了向马来西亚风味致敬，也要欢庆我们进驻马来西亚已久的历史。我们感到高兴，因为这款巧克力获得大家热烈的支持。今年，我们想要创造一种不只是代表马来西亚的口味，还要引起马来西亚人的共鸣。Cadbury Dairy Milk牛奶巧克力标志性的巧克力与香气浓郁的榴梿结合在一起，必能挑动马来西亚消费者的味蕾，尤其是那些从小就很喜欢榴梿的人。马来西亚人对本地美食感到很自豪，我们一定会继续以他们引以为荣的口味来打动他们。”   </w:t>
      </w:r>
    </w:p>
    <w:p w:rsidR="00000000" w:rsidDel="00000000" w:rsidP="00000000" w:rsidRDefault="00000000" w:rsidRPr="00000000" w14:paraId="0000001A">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360" w:lineRule="auto"/>
        <w:ind w:firstLine="720"/>
        <w:rPr>
          <w:rFonts w:ascii="Arial" w:cs="Arial" w:eastAsia="Arial" w:hAnsi="Arial"/>
        </w:rPr>
      </w:pPr>
      <w:r w:rsidDel="00000000" w:rsidR="00000000" w:rsidRPr="00000000">
        <w:rPr>
          <w:rFonts w:ascii="Arial Unicode MS" w:cs="Arial Unicode MS" w:eastAsia="Arial Unicode MS" w:hAnsi="Arial Unicode MS"/>
          <w:rtl w:val="0"/>
        </w:rPr>
        <w:t xml:space="preserve">配合限量版巧克力面市，Cadbury Dairy Milk牛奶巧克力会再次装在印有马来西亚著名插画家Datuk Lat 手绘插图的特制封套。Datuk Lat</w:t>
      </w:r>
      <w:r w:rsidDel="00000000" w:rsidR="00000000" w:rsidRPr="00000000">
        <w:rPr>
          <w:rFonts w:ascii="Arial Unicode MS" w:cs="Arial Unicode MS" w:eastAsia="Arial Unicode MS" w:hAnsi="Arial Unicode MS"/>
          <w:highlight w:val="white"/>
          <w:rtl w:val="0"/>
        </w:rPr>
        <w:t xml:space="preserve">笔下的漫画人物甘榜男孩（Kampung Boy）将出现在三个不同的插图场景，包括一群村民一起搭桥铺路、一起品尝榴梿以及</w:t>
      </w:r>
      <w:r w:rsidDel="00000000" w:rsidR="00000000" w:rsidRPr="00000000">
        <w:rPr>
          <w:rFonts w:ascii="Arial Unicode MS" w:cs="Arial Unicode MS" w:eastAsia="Arial Unicode MS" w:hAnsi="Arial Unicode MS"/>
          <w:rtl w:val="0"/>
        </w:rPr>
        <w:t xml:space="preserve">Lat 和 Epit 一起种植榴梿树。这些插图以马来西亚人的团结精神为主题，展示在一个乡村内大家不分你我，互相帮忙的友好氛围。</w:t>
      </w:r>
    </w:p>
    <w:p w:rsidR="00000000" w:rsidDel="00000000" w:rsidP="00000000" w:rsidRDefault="00000000" w:rsidRPr="00000000" w14:paraId="0000001C">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360" w:lineRule="auto"/>
        <w:ind w:firstLine="720"/>
        <w:rPr>
          <w:rFonts w:ascii="Arial" w:cs="Arial" w:eastAsia="Arial" w:hAnsi="Arial"/>
        </w:rPr>
      </w:pPr>
      <w:bookmarkStart w:colFirst="0" w:colLast="0" w:name="_30j0zll" w:id="1"/>
      <w:bookmarkEnd w:id="1"/>
      <w:r w:rsidDel="00000000" w:rsidR="00000000" w:rsidRPr="00000000">
        <w:rPr>
          <w:rFonts w:ascii="Arial" w:cs="Arial" w:eastAsia="Arial" w:hAnsi="Arial"/>
          <w:b w:val="1"/>
          <w:rtl w:val="0"/>
        </w:rPr>
        <w:t xml:space="preserve">Datuk Lat</w:t>
      </w:r>
      <w:r w:rsidDel="00000000" w:rsidR="00000000" w:rsidRPr="00000000">
        <w:rPr>
          <w:rFonts w:ascii="Arial Unicode MS" w:cs="Arial Unicode MS" w:eastAsia="Arial Unicode MS" w:hAnsi="Arial Unicode MS"/>
          <w:rtl w:val="0"/>
        </w:rPr>
        <w:t xml:space="preserve"> 说：“我很高兴再度与Cadbury Dairy Milk携手合作。当我知道他们想要推出榴梿口味的巧克力时，我感到雀跃万分，因为这是我从小到大喜爱的口味。这个口味让我回想起以前和家人一起参观榴梿园，一起品尝果王的美好时光。我的插图坚持展示马来西亚人的生活方式，而我为Cadbury Dairy Milk创作的作品，正好体现了马来西亚人共享和精诚团结的价值观。”  </w:t>
      </w:r>
    </w:p>
    <w:p w:rsidR="00000000" w:rsidDel="00000000" w:rsidP="00000000" w:rsidRDefault="00000000" w:rsidRPr="00000000" w14:paraId="0000001E">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360" w:lineRule="auto"/>
        <w:ind w:firstLine="720"/>
        <w:rPr>
          <w:rFonts w:ascii="Arial" w:cs="Arial" w:eastAsia="Arial" w:hAnsi="Arial"/>
        </w:rPr>
      </w:pPr>
      <w:r w:rsidDel="00000000" w:rsidR="00000000" w:rsidRPr="00000000">
        <w:rPr>
          <w:rFonts w:ascii="Arial Unicode MS" w:cs="Arial Unicode MS" w:eastAsia="Arial Unicode MS" w:hAnsi="Arial Unicode MS"/>
          <w:rtl w:val="0"/>
        </w:rPr>
        <w:t xml:space="preserve">全新的Cadbury Dairy Milk榴梿巧克力已在全马各地的霸级市场和超级市场销售， 165g 包装的建议零售价是RM8.50 ，即日起至2019年</w:t>
      </w:r>
      <w:r w:rsidDel="00000000" w:rsidR="00000000" w:rsidRPr="00000000">
        <w:rPr>
          <w:rFonts w:ascii="Arial Unicode MS" w:cs="Arial Unicode MS" w:eastAsia="Arial Unicode MS" w:hAnsi="Arial Unicode MS"/>
          <w:highlight w:val="yellow"/>
          <w:rtl w:val="0"/>
        </w:rPr>
        <w:t xml:space="preserve">9月30日</w:t>
      </w:r>
      <w:r w:rsidDel="00000000" w:rsidR="00000000" w:rsidRPr="00000000">
        <w:rPr>
          <w:rFonts w:ascii="Arial Unicode MS" w:cs="Arial Unicode MS" w:eastAsia="Arial Unicode MS" w:hAnsi="Arial Unicode MS"/>
          <w:rtl w:val="0"/>
        </w:rPr>
        <w:t xml:space="preserve">限时发售。印有Datuk Lat插图的限量版礼盒已在Shopee 独家销售，售价是RM42.90。</w:t>
      </w:r>
    </w:p>
    <w:p w:rsidR="00000000" w:rsidDel="00000000" w:rsidP="00000000" w:rsidRDefault="00000000" w:rsidRPr="00000000" w14:paraId="00000020">
      <w:pPr>
        <w:spacing w:after="0" w:line="360" w:lineRule="auto"/>
        <w:ind w:firstLine="720"/>
        <w:rPr>
          <w:rFonts w:ascii="Arial" w:cs="Arial" w:eastAsia="Arial" w:hAnsi="Arial"/>
          <w:highlight w:val="yellow"/>
        </w:rPr>
      </w:pPr>
      <w:r w:rsidDel="00000000" w:rsidR="00000000" w:rsidRPr="00000000">
        <w:rPr>
          <w:rtl w:val="0"/>
        </w:rPr>
      </w:r>
    </w:p>
    <w:p w:rsidR="00000000" w:rsidDel="00000000" w:rsidP="00000000" w:rsidRDefault="00000000" w:rsidRPr="00000000" w14:paraId="00000021">
      <w:pPr>
        <w:spacing w:after="0" w:line="360" w:lineRule="auto"/>
        <w:ind w:firstLine="720"/>
        <w:rPr>
          <w:rFonts w:ascii="Arial" w:cs="Arial" w:eastAsia="Arial" w:hAnsi="Arial"/>
        </w:rPr>
      </w:pPr>
      <w:r w:rsidDel="00000000" w:rsidR="00000000" w:rsidRPr="00000000">
        <w:rPr>
          <w:rFonts w:ascii="Arial Unicode MS" w:cs="Arial Unicode MS" w:eastAsia="Arial Unicode MS" w:hAnsi="Arial Unicode MS"/>
          <w:rtl w:val="0"/>
        </w:rPr>
        <w:t xml:space="preserve">欲知Cadbury Dairy Milk牛奶巧克力最新的榴梿巧克力详情，欢迎浏览脸书专页</w:t>
      </w:r>
      <w:hyperlink r:id="rId8">
        <w:r w:rsidDel="00000000" w:rsidR="00000000" w:rsidRPr="00000000">
          <w:rPr>
            <w:rFonts w:ascii="Arial" w:cs="Arial" w:eastAsia="Arial" w:hAnsi="Arial"/>
            <w:color w:val="1155cc"/>
            <w:u w:val="single"/>
            <w:rtl w:val="0"/>
          </w:rPr>
          <w:t xml:space="preserve">https://www.facebook.com/CadburyMalaysia</w:t>
        </w:r>
      </w:hyperlink>
      <w:r w:rsidDel="00000000" w:rsidR="00000000" w:rsidRPr="00000000">
        <w:rPr>
          <w:rFonts w:ascii="Arial Unicode MS" w:cs="Arial Unicode MS" w:eastAsia="Arial Unicode MS" w:hAnsi="Arial Unicode MS"/>
          <w:rtl w:val="0"/>
        </w:rPr>
        <w:t xml:space="preserve"> 或 Instagram 帐号</w:t>
      </w:r>
      <w:hyperlink r:id="rId9">
        <w:r w:rsidDel="00000000" w:rsidR="00000000" w:rsidRPr="00000000">
          <w:rPr>
            <w:rFonts w:ascii="Arial" w:cs="Arial" w:eastAsia="Arial" w:hAnsi="Arial"/>
            <w:color w:val="1155cc"/>
            <w:u w:val="single"/>
            <w:rtl w:val="0"/>
          </w:rPr>
          <w:t xml:space="preserve">https://www.instagram.com/cadbury_my/</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2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Malaysia</w:t>
      </w:r>
    </w:p>
    <w:p w:rsidR="00000000" w:rsidDel="00000000" w:rsidP="00000000" w:rsidRDefault="00000000" w:rsidRPr="00000000" w14:paraId="00000032">
      <w:pPr>
        <w:spacing w:after="0" w:lineRule="auto"/>
        <w:jc w:val="both"/>
        <w:rPr>
          <w:rFonts w:ascii="Arial" w:cs="Arial" w:eastAsia="Arial" w:hAnsi="Arial"/>
        </w:rPr>
      </w:pPr>
      <w:r w:rsidDel="00000000" w:rsidR="00000000" w:rsidRPr="00000000">
        <w:rPr>
          <w:rFonts w:ascii="Arial" w:cs="Arial" w:eastAsia="Arial" w:hAnsi="Arial"/>
          <w:rtl w:val="0"/>
        </w:rPr>
        <w:t xml:space="preserve">Mondelēz International (Malaysia) is part of the Mondelēz International group of companies which empowers people to snack right across 8 countries within Southeast Asia. With three manufacturing plants in Shah Alam and Prai, Mondelēz is leading the future of snacking through our iconic and well-loved brands such as Oreo, belVita, Cadbury Dairy Milk, Tiger Biskuat, Jacob’s, Chipsmore, Choclairs and Twisties. The guaranteed quality, safety and taste of our wholesome snacks ensure that all our consumers will be able to reach for the right snack, for the right moment, made the right way. Visit </w:t>
      </w:r>
      <w:hyperlink r:id="rId10">
        <w:r w:rsidDel="00000000" w:rsidR="00000000" w:rsidRPr="00000000">
          <w:rPr>
            <w:rFonts w:ascii="Arial" w:cs="Arial" w:eastAsia="Arial" w:hAnsi="Arial"/>
            <w:b w:val="1"/>
            <w:color w:val="0000ff"/>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1">
        <w:r w:rsidDel="00000000" w:rsidR="00000000" w:rsidRPr="00000000">
          <w:rPr>
            <w:rFonts w:ascii="Arial" w:cs="Arial" w:eastAsia="Arial" w:hAnsi="Arial"/>
            <w:b w:val="1"/>
            <w:color w:val="0000ff"/>
            <w:u w:val="single"/>
            <w:rtl w:val="0"/>
          </w:rPr>
          <w:t xml:space="preserve">www.twitter.com/MDLZ</w:t>
        </w:r>
      </w:hyperlink>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33">
      <w:pPr>
        <w:spacing w:after="0" w:lineRule="auto"/>
        <w:jc w:val="both"/>
        <w:rPr>
          <w:rFonts w:ascii="Arial" w:cs="Arial" w:eastAsia="Arial" w:hAnsi="Arial"/>
          <w:strike w:val="1"/>
          <w:highlight w:val="yellow"/>
        </w:rPr>
      </w:pPr>
      <w:r w:rsidDel="00000000" w:rsidR="00000000" w:rsidRPr="00000000">
        <w:rPr>
          <w:rFonts w:ascii="Arial" w:cs="Arial" w:eastAsia="Arial" w:hAnsi="Arial"/>
          <w:highlight w:val="yellow"/>
          <w:rtl w:val="0"/>
        </w:rPr>
        <w:br w:type="textWrapping"/>
      </w:r>
      <w:r w:rsidDel="00000000" w:rsidR="00000000" w:rsidRPr="00000000">
        <w:rPr>
          <w:rtl w:val="0"/>
        </w:rPr>
      </w:r>
    </w:p>
    <w:p w:rsidR="00000000" w:rsidDel="00000000" w:rsidP="00000000" w:rsidRDefault="00000000" w:rsidRPr="00000000" w14:paraId="00000034">
      <w:pPr>
        <w:spacing w:after="0" w:lineRule="auto"/>
        <w:jc w:val="both"/>
        <w:rPr>
          <w:rFonts w:ascii="Arial" w:cs="Arial" w:eastAsia="Arial" w:hAnsi="Arial"/>
          <w:strike w:val="1"/>
          <w:highlight w:val="yellow"/>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International</w:t>
      </w:r>
    </w:p>
    <w:p w:rsidR="00000000" w:rsidDel="00000000" w:rsidP="00000000" w:rsidRDefault="00000000" w:rsidRPr="00000000" w14:paraId="00000036">
      <w:pPr>
        <w:spacing w:after="60" w:line="240" w:lineRule="auto"/>
        <w:ind w:firstLine="720"/>
        <w:rPr>
          <w:rFonts w:ascii="Arial" w:cs="Arial" w:eastAsia="Arial" w:hAnsi="Arial"/>
          <w:b w:val="1"/>
        </w:rPr>
      </w:pPr>
      <w:r w:rsidDel="00000000" w:rsidR="00000000" w:rsidRPr="00000000">
        <w:rPr>
          <w:rFonts w:ascii="Arial" w:cs="Arial" w:eastAsia="Arial" w:hAnsi="Arial"/>
          <w:rtl w:val="0"/>
        </w:rPr>
        <w:t xml:space="preserve">Mondelēz International, Inc. (NASDAQ: MDLZ) empowers people to snack right in approximately 160 countries around the world. With 2017 net revenues of approximately $26 billion, MDLZ is leading the future of snacking with iconic global and local brands such as </w:t>
      </w:r>
      <w:r w:rsidDel="00000000" w:rsidR="00000000" w:rsidRPr="00000000">
        <w:rPr>
          <w:rFonts w:ascii="Arial" w:cs="Arial" w:eastAsia="Arial" w:hAnsi="Arial"/>
          <w:i w:val="1"/>
          <w:rtl w:val="0"/>
        </w:rPr>
        <w:t xml:space="preserve">Oreo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belVita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LU</w:t>
      </w:r>
      <w:r w:rsidDel="00000000" w:rsidR="00000000" w:rsidRPr="00000000">
        <w:rPr>
          <w:rFonts w:ascii="Arial" w:cs="Arial" w:eastAsia="Arial" w:hAnsi="Arial"/>
          <w:rtl w:val="0"/>
        </w:rPr>
        <w:t xml:space="preserve"> biscuits; </w:t>
      </w:r>
      <w:r w:rsidDel="00000000" w:rsidR="00000000" w:rsidRPr="00000000">
        <w:rPr>
          <w:rFonts w:ascii="Arial" w:cs="Arial" w:eastAsia="Arial" w:hAnsi="Arial"/>
          <w:i w:val="1"/>
          <w:rtl w:val="0"/>
        </w:rPr>
        <w:t xml:space="preserve">Cadbury Dairy Milk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Milka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Toblerone</w:t>
      </w:r>
      <w:r w:rsidDel="00000000" w:rsidR="00000000" w:rsidRPr="00000000">
        <w:rPr>
          <w:rFonts w:ascii="Arial" w:cs="Arial" w:eastAsia="Arial" w:hAnsi="Arial"/>
          <w:rtl w:val="0"/>
        </w:rPr>
        <w:t xml:space="preserve"> chocolate; </w:t>
      </w:r>
      <w:r w:rsidDel="00000000" w:rsidR="00000000" w:rsidRPr="00000000">
        <w:rPr>
          <w:rFonts w:ascii="Arial" w:cs="Arial" w:eastAsia="Arial" w:hAnsi="Arial"/>
          <w:i w:val="1"/>
          <w:rtl w:val="0"/>
        </w:rPr>
        <w:t xml:space="preserve">Sour Patch Kids</w:t>
      </w:r>
      <w:r w:rsidDel="00000000" w:rsidR="00000000" w:rsidRPr="00000000">
        <w:rPr>
          <w:rFonts w:ascii="Arial" w:cs="Arial" w:eastAsia="Arial" w:hAnsi="Arial"/>
          <w:rtl w:val="0"/>
        </w:rPr>
        <w:t xml:space="preserve"> candy and </w:t>
      </w:r>
      <w:r w:rsidDel="00000000" w:rsidR="00000000" w:rsidRPr="00000000">
        <w:rPr>
          <w:rFonts w:ascii="Arial" w:cs="Arial" w:eastAsia="Arial" w:hAnsi="Arial"/>
          <w:i w:val="1"/>
          <w:rtl w:val="0"/>
        </w:rPr>
        <w:t xml:space="preserve">Trident</w:t>
      </w:r>
      <w:r w:rsidDel="00000000" w:rsidR="00000000" w:rsidRPr="00000000">
        <w:rPr>
          <w:rFonts w:ascii="Arial" w:cs="Arial" w:eastAsia="Arial" w:hAnsi="Arial"/>
          <w:rtl w:val="0"/>
        </w:rPr>
        <w:t xml:space="preserve"> gum. Mondelēz International is a proud member of the Standard and Poor’s 500, Nasdaq 100 and Dow Jones Sustainability Index. Visit</w:t>
      </w:r>
      <w:r w:rsidDel="00000000" w:rsidR="00000000" w:rsidRPr="00000000">
        <w:rPr>
          <w:rFonts w:ascii="Arial" w:cs="Arial" w:eastAsia="Arial" w:hAnsi="Arial"/>
          <w:b w:val="1"/>
          <w:rtl w:val="0"/>
        </w:rPr>
        <w:t xml:space="preserve"> </w:t>
      </w:r>
      <w:hyperlink r:id="rId12">
        <w:r w:rsidDel="00000000" w:rsidR="00000000" w:rsidRPr="00000000">
          <w:rPr>
            <w:rFonts w:ascii="Arial" w:cs="Arial" w:eastAsia="Arial" w:hAnsi="Arial"/>
            <w:b w:val="1"/>
            <w:color w:val="0000ff"/>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3">
        <w:r w:rsidDel="00000000" w:rsidR="00000000" w:rsidRPr="00000000">
          <w:rPr>
            <w:rFonts w:ascii="Arial" w:cs="Arial" w:eastAsia="Arial" w:hAnsi="Arial"/>
            <w:b w:val="1"/>
            <w:color w:val="0000ff"/>
            <w:u w:val="single"/>
            <w:rtl w:val="0"/>
          </w:rPr>
          <w:t xml:space="preserve">www.twitter.com/MDLZ</w:t>
        </w:r>
      </w:hyperlink>
      <w:r w:rsidDel="00000000" w:rsidR="00000000" w:rsidRPr="00000000">
        <w:rPr>
          <w:rFonts w:ascii="Arial" w:cs="Arial" w:eastAsia="Arial" w:hAnsi="Arial"/>
          <w:b w:val="1"/>
          <w:rtl w:val="0"/>
        </w:rPr>
        <w:t xml:space="preserve">.</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 </w:t>
      </w: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sz w:val="24"/>
          <w:szCs w:val="24"/>
        </w:rPr>
        <w:drawing>
          <wp:inline distB="0" distT="0" distL="0" distR="0">
            <wp:extent cx="2148205" cy="232410"/>
            <wp:effectExtent b="0" l="0" r="0" t="0"/>
            <wp:docPr descr="escription: https://lh5.googleusercontent.com/LVxFsZC4m7iZZbC5Ykrz19" id="2" name="image1.png"/>
            <a:graphic>
              <a:graphicData uri="http://schemas.openxmlformats.org/drawingml/2006/picture">
                <pic:pic>
                  <pic:nvPicPr>
                    <pic:cNvPr descr="escription: https://lh5.googleusercontent.com/LVxFsZC4m7iZZbC5Ykrz19" id="0" name="image1.png"/>
                    <pic:cNvPicPr preferRelativeResize="0"/>
                  </pic:nvPicPr>
                  <pic:blipFill>
                    <a:blip r:embed="rId14"/>
                    <a:srcRect b="0" l="0" r="0" t="0"/>
                    <a:stretch>
                      <a:fillRect/>
                    </a:stretch>
                  </pic:blipFill>
                  <pic:spPr>
                    <a:xfrm>
                      <a:off x="0" y="0"/>
                      <a:ext cx="2148205" cy="23241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360" w:lineRule="auto"/>
        <w:rPr>
          <w:rFonts w:ascii="Arial" w:cs="Arial" w:eastAsia="Arial" w:hAnsi="Arial"/>
          <w:color w:val="595959"/>
        </w:rPr>
      </w:pPr>
      <w:r w:rsidDel="00000000" w:rsidR="00000000" w:rsidRPr="00000000">
        <w:rPr>
          <w:rtl w:val="0"/>
        </w:rPr>
      </w:r>
    </w:p>
    <w:p w:rsidR="00000000" w:rsidDel="00000000" w:rsidP="00000000" w:rsidRDefault="00000000" w:rsidRPr="00000000" w14:paraId="0000003B">
      <w:pPr>
        <w:spacing w:after="0" w:line="360" w:lineRule="auto"/>
        <w:jc w:val="center"/>
        <w:rPr>
          <w:rFonts w:ascii="Arial" w:cs="Arial" w:eastAsia="Arial" w:hAnsi="Arial"/>
          <w:color w:val="595959"/>
        </w:rPr>
      </w:pPr>
      <w:r w:rsidDel="00000000" w:rsidR="00000000" w:rsidRPr="00000000">
        <w:rPr>
          <w:rtl w:val="0"/>
        </w:rPr>
      </w:r>
    </w:p>
    <w:sectPr>
      <w:footerReference r:id="rId15" w:type="default"/>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Arial Unicode MS"/>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Verdana" w:cs="Verdana" w:eastAsia="Verdana" w:hAnsi="Verdana"/>
        <w:color w:val="000000"/>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0" w:line="240" w:lineRule="auto"/>
      <w:ind w:left="720"/>
    </w:pPr>
    <w:rPr>
      <w:rFonts w:ascii="Times New Roman" w:cs="Times New Roman" w:eastAsia="Times New Roman" w:hAnsi="Times New Roman"/>
      <w:color w:val="000000"/>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twitter.com/MDLZ" TargetMode="External"/><Relationship Id="rId10" Type="http://schemas.openxmlformats.org/officeDocument/2006/relationships/hyperlink" Target="http://www.mondelezinternational.com" TargetMode="External"/><Relationship Id="rId13" Type="http://schemas.openxmlformats.org/officeDocument/2006/relationships/hyperlink" Target="http://www.twitter.com/MDLZ" TargetMode="External"/><Relationship Id="rId12" Type="http://schemas.openxmlformats.org/officeDocument/2006/relationships/hyperlink" Target="http://www.mondelezinternationa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cadbury_my/" TargetMode="External"/><Relationship Id="rId15" Type="http://schemas.openxmlformats.org/officeDocument/2006/relationships/footer" Target="footer1.xm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elizabeth@madhat.asia" TargetMode="External"/><Relationship Id="rId8" Type="http://schemas.openxmlformats.org/officeDocument/2006/relationships/hyperlink" Target="https://www.facebook.com/CadburyMala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