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立即发布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欲知详情、约访或媒体垂询，欢迎联系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Vanesa Paxton |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vanesa@madhat.asia</w:t>
        </w:r>
      </w:hyperlink>
      <w:r w:rsidDel="00000000" w:rsidR="00000000" w:rsidRPr="00000000">
        <w:rPr>
          <w:sz w:val="24"/>
          <w:szCs w:val="24"/>
          <w:rtl w:val="0"/>
        </w:rPr>
        <w:t xml:space="preserve"> | 016 342 5957</w:t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Sarah Miranda James |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sarah@madhat.asia</w:t>
        </w:r>
      </w:hyperlink>
      <w:r w:rsidDel="00000000" w:rsidR="00000000" w:rsidRPr="00000000">
        <w:rPr>
          <w:sz w:val="24"/>
          <w:szCs w:val="24"/>
          <w:rtl w:val="0"/>
        </w:rPr>
        <w:t xml:space="preserve"> | 012 246 1506</w:t>
      </w:r>
    </w:p>
    <w:p w:rsidR="00000000" w:rsidDel="00000000" w:rsidP="00000000" w:rsidRDefault="00000000" w:rsidRPr="00000000" w14:paraId="00000006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376363" cy="14299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14299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GUINNESS再次证明旗下生啤品质更佳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马来西亚GUINNESS送出费用全</w:t>
      </w: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免</w:t>
      </w: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GUINNESS发源地都柏林 St James’s Gate 之旅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4"/>
          <w:szCs w:val="24"/>
          <w:rtl w:val="0"/>
        </w:rPr>
        <w:t xml:space="preserve">以奖励4名优秀酒保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（吉隆坡4月25日讯）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马来西亚 GUINNESS 在今日落幕的 Perfect Pour 斟酒培训计划中宣布送出费用全免的 GUINNESS 发源地都柏林之旅，以奖励4名优秀酒保。过去一个月，GUINNESS 品牌代言人 Cian Hulm 到全马8个州属培训酒保，并选出16名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最佳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斟酒选手参加吉隆坡 GUINNESS Perfect Pour 决赛。随着得奖名单出炉，比赛也画上了圆满的句点。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Hulm 来自GUINNESS的家乡 —— 都柏林赫赫有名的 St James’s Gate。身为全球公认的GUINNESS 专家，Hulm 带领团队到全球各地分享与 GUINNESS 相关的知识，同时确保在全球销售的 GUINNESS 达到完美的品质标准。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GUINNESS Perfect Pour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活动以培训640 名来自全马各地 180 间门店酒吧员工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酒保，为马来西亚喜力（HEINEKEN Malaysia）的合作伙伴制定严格的 GUINNESS 生啤品质标准。此外， GUINNESS Perfect Pour 卡车也在巴生谷穿行，向民众展示 GUINNESS 的优良品质。消费者除了有机会了解 GUINNESS 的生产原料，还能学习GUINNESS 生啤独一无二的两步斟酒法。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843"/>
        </w:tabs>
        <w:jc w:val="both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GUINNESS 品牌代言人 Cian Hulm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说：“走遍马来西亚与酒保们交流，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让我见识到了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全球各地的酒保皆充满热诚，务求为消费者端上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完美无缺的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GUINNESS 生啤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的态度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让我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感到光荣也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引以为傲。”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GUINNESS 生啤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提倡的是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“Made of More” ——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更多细节，更高期盼，更大满足感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，因为每一杯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GUINNESS 生啤都经过氮化工序加工处理，而原料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也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采用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独特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啤酒花以及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其传奇创办人 Arthur Guinness 260 年前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使用的酵母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菌株产生出来的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酵母。因此，对讲究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细节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的消费者而言，GUINNESS 是他们的首选生啤。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马来西亚 GUINNESS 高级品牌经理</w:t>
      </w:r>
      <w:r w:rsidDel="00000000" w:rsidR="00000000" w:rsidRPr="00000000">
        <w:rPr>
          <w:rFonts w:ascii="SimSun" w:cs="SimSun" w:eastAsia="SimSun" w:hAnsi="SimSun"/>
          <w:b w:val="1"/>
          <w:sz w:val="24"/>
          <w:szCs w:val="24"/>
          <w:rtl w:val="0"/>
        </w:rPr>
        <w:t xml:space="preserve">关明思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（</w:t>
      </w:r>
      <w:r w:rsidDel="00000000" w:rsidR="00000000" w:rsidRPr="00000000">
        <w:rPr>
          <w:b w:val="1"/>
          <w:sz w:val="24"/>
          <w:szCs w:val="24"/>
          <w:rtl w:val="0"/>
        </w:rPr>
        <w:t xml:space="preserve">Julie Kuan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说：“GUINNESS生啤能稳坐全球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销量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第一黑啤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酒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品牌的宝座是因为我们严选最好的原料来生产啤酒，加上独特的 ‘两步斟酒法’，我们保证斟出来的啤酒，口味必定最佳。这也是我们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一直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确保国内所有酒吧的酒保经常受训的主要原因。我们创建了品牌，也要求酒保把完美的 GUINNESS 献予消费者。”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配合 GUINNESS Perfect Pour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的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活动，马来西亚消费者能前往16名入围决赛者的酒吧或餐厅品尝完美的 GUINNESS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生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啤：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亚庇SOULed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亚庇Hotel No. 5 FIV5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古晋The Sarawak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古晋希尔顿酒店Senso Bar and Lounge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槟城5 Senses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槟城Rabbit’s 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怡保The Deck Gastro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怡保Like Long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新山La Primeur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新山Trove Hotel Mulligans Irish Restaurant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马六甲Old Merchant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马六甲The Beer Factory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吉隆坡The Rabbit 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吉隆坡Genting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白沙罗商区Three Stooges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蕉赖The Beer Factory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36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欲了解更多有关 GUINNESS 生啤，敬请浏览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www.facebook.com/GuinnessMalaysia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###</w:t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备注</w:t>
      </w:r>
    </w:p>
    <w:p w:rsidR="00000000" w:rsidDel="00000000" w:rsidP="00000000" w:rsidRDefault="00000000" w:rsidRPr="00000000" w14:paraId="0000002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马来西亚喜力有限公司（Heineken Malaysia Berhad）简介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马来西亚喜力凭着旗下的标志性国际品牌，成为马来西亚领先的啤酒生产商。公司生产、销售和分销：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世界第一国际顶级啤酒 </w:t>
      </w:r>
      <w:r w:rsidDel="00000000" w:rsidR="00000000" w:rsidRPr="00000000">
        <w:rPr>
          <w:b w:val="1"/>
          <w:rtl w:val="0"/>
        </w:rPr>
        <w:t xml:space="preserve">Heineken</w:t>
      </w:r>
      <w:r w:rsidDel="00000000" w:rsidR="00000000" w:rsidRPr="00000000">
        <w:rPr>
          <w:b w:val="1"/>
          <w:vertAlign w:val="superscript"/>
          <w:rtl w:val="0"/>
        </w:rPr>
        <w:t xml:space="preserve">®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享誉国际的亚洲著名啤酒 </w:t>
      </w:r>
      <w:r w:rsidDel="00000000" w:rsidR="00000000" w:rsidRPr="00000000">
        <w:rPr>
          <w:b w:val="1"/>
          <w:rtl w:val="0"/>
        </w:rPr>
        <w:t xml:space="preserve">Tiger Beer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世界第一黑啤 </w:t>
      </w:r>
      <w:r w:rsidDel="00000000" w:rsidR="00000000" w:rsidRPr="00000000">
        <w:rPr>
          <w:b w:val="1"/>
          <w:rtl w:val="0"/>
        </w:rPr>
        <w:t xml:space="preserve">Guinness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世界第一苹果酒</w:t>
      </w:r>
      <w:r w:rsidDel="00000000" w:rsidR="00000000" w:rsidRPr="00000000">
        <w:rPr>
          <w:b w:val="1"/>
          <w:rtl w:val="0"/>
        </w:rPr>
        <w:t xml:space="preserve"> Strongbow Apple Ciders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清新可口的纽西兰苹果酒 </w:t>
      </w:r>
      <w:r w:rsidDel="00000000" w:rsidR="00000000" w:rsidRPr="00000000">
        <w:rPr>
          <w:b w:val="1"/>
          <w:rtl w:val="0"/>
        </w:rPr>
        <w:t xml:space="preserve">Apple Fox Cider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受欢迎的优质本地佳酿</w:t>
      </w:r>
      <w:r w:rsidDel="00000000" w:rsidR="00000000" w:rsidRPr="00000000">
        <w:rPr>
          <w:b w:val="1"/>
          <w:rtl w:val="0"/>
        </w:rPr>
        <w:t xml:space="preserve"> Anchor Smooth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公认优质，香醇顺喉的</w:t>
      </w:r>
      <w:r w:rsidDel="00000000" w:rsidR="00000000" w:rsidRPr="00000000">
        <w:rPr>
          <w:b w:val="1"/>
          <w:rtl w:val="0"/>
        </w:rPr>
        <w:t xml:space="preserve"> Kilkenny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真正的 </w:t>
      </w:r>
      <w:r w:rsidDel="00000000" w:rsidR="00000000" w:rsidRPr="00000000">
        <w:rPr>
          <w:b w:val="1"/>
          <w:rtl w:val="0"/>
        </w:rPr>
        <w:t xml:space="preserve">Anglia Shandy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马来西亚喜力也酿制健康、高品质的非酒精 </w:t>
      </w:r>
      <w:r w:rsidDel="00000000" w:rsidR="00000000" w:rsidRPr="00000000">
        <w:rPr>
          <w:b w:val="1"/>
          <w:rtl w:val="0"/>
        </w:rPr>
        <w:t xml:space="preserve">MALTA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.。马来西亚喜力旗下品牌还包括德国第一的小麦啤酒 </w:t>
      </w:r>
      <w:r w:rsidDel="00000000" w:rsidR="00000000" w:rsidRPr="00000000">
        <w:rPr>
          <w:b w:val="1"/>
          <w:rtl w:val="0"/>
        </w:rPr>
        <w:t xml:space="preserve">PAULANER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，及日本第一的 100% 麦芽啤酒 </w:t>
      </w:r>
      <w:r w:rsidDel="00000000" w:rsidR="00000000" w:rsidRPr="00000000">
        <w:rPr>
          <w:b w:val="1"/>
          <w:rtl w:val="0"/>
        </w:rPr>
        <w:t xml:space="preserve">KIRIN ICHIBAN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。公司继续通过‘理性喝酒’活动提醒驾驶人士以负责任的态度喝酒。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马来西亚喜力在大马交易所主板上市，主要股东是总部设在新加坡的GAPL Pte Ltd。GAPL Pte Ltd  由喜力荷兰总公司（Heineken N.V.）全资拥有。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查询详情，请登入：www.heinekenmalaysia.com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SimSu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acebook.com/GuinnessMalaysia" TargetMode="External"/><Relationship Id="rId5" Type="http://schemas.openxmlformats.org/officeDocument/2006/relationships/styles" Target="styles.xml"/><Relationship Id="rId6" Type="http://schemas.openxmlformats.org/officeDocument/2006/relationships/hyperlink" Target="mailto:vanesa@madhat.asia" TargetMode="External"/><Relationship Id="rId7" Type="http://schemas.openxmlformats.org/officeDocument/2006/relationships/hyperlink" Target="mailto:sarah@madhat.asia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