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Pr>
        <w:drawing>
          <wp:inline distB="0" distT="0" distL="0" distR="0">
            <wp:extent cx="2112823" cy="87283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12823" cy="8728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smallCaps w:val="1"/>
          <w:sz w:val="20"/>
          <w:szCs w:val="20"/>
        </w:rPr>
      </w:pPr>
      <w:r w:rsidDel="00000000" w:rsidR="00000000" w:rsidRPr="00000000">
        <w:rPr>
          <w:rtl w:val="0"/>
        </w:rPr>
      </w:r>
    </w:p>
    <w:tbl>
      <w:tblPr>
        <w:tblStyle w:val="Table1"/>
        <w:tblW w:w="829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58"/>
        <w:gridCol w:w="3420"/>
        <w:gridCol w:w="3420"/>
        <w:tblGridChange w:id="0">
          <w:tblGrid>
            <w:gridCol w:w="1458"/>
            <w:gridCol w:w="3420"/>
            <w:gridCol w:w="3420"/>
          </w:tblGrid>
        </w:tblGridChange>
      </w:tblGrid>
      <w:tr>
        <w:tc>
          <w:tcPr/>
          <w:p w:rsidR="00000000" w:rsidDel="00000000" w:rsidP="00000000" w:rsidRDefault="00000000" w:rsidRPr="00000000" w14:paraId="00000004">
            <w:pPr>
              <w:rPr>
                <w:rFonts w:ascii="Arial" w:cs="Arial" w:eastAsia="Arial" w:hAnsi="Arial"/>
                <w:color w:val="5f5f5f"/>
              </w:rPr>
            </w:pPr>
            <w:r w:rsidDel="00000000" w:rsidR="00000000" w:rsidRPr="00000000">
              <w:rPr>
                <w:rFonts w:ascii="Arial" w:cs="Arial" w:eastAsia="Arial" w:hAnsi="Arial"/>
                <w:b w:val="1"/>
                <w:rtl w:val="0"/>
              </w:rPr>
              <w:t xml:space="preserve">Hubungi</w:t>
            </w:r>
            <w:r w:rsidDel="00000000" w:rsidR="00000000" w:rsidRPr="00000000">
              <w:rPr>
                <w:rFonts w:ascii="Arial" w:cs="Arial" w:eastAsia="Arial" w:hAnsi="Arial"/>
                <w:rtl w:val="0"/>
              </w:rPr>
              <w:t xml:space="preserve">:</w:t>
            </w:r>
            <w:r w:rsidDel="00000000" w:rsidR="00000000" w:rsidRPr="00000000">
              <w:rPr>
                <w:rtl w:val="0"/>
              </w:rPr>
            </w:r>
          </w:p>
        </w:tc>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Elizabeth Harding</w:t>
            </w:r>
          </w:p>
        </w:tc>
        <w:tc>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Nicole Main</w:t>
            </w:r>
          </w:p>
        </w:tc>
      </w:tr>
      <w:tr>
        <w:trPr>
          <w:trHeight w:val="60" w:hRule="atLeast"/>
        </w:trPr>
        <w:tc>
          <w:tcPr/>
          <w:p w:rsidR="00000000" w:rsidDel="00000000" w:rsidP="00000000" w:rsidRDefault="00000000" w:rsidRPr="00000000" w14:paraId="00000007">
            <w:pPr>
              <w:rPr>
                <w:rFonts w:ascii="Arial" w:cs="Arial" w:eastAsia="Arial" w:hAnsi="Arial"/>
                <w:b w:val="1"/>
                <w:color w:val="5f5f5f"/>
              </w:rPr>
            </w:pPr>
            <w:r w:rsidDel="00000000" w:rsidR="00000000" w:rsidRPr="00000000">
              <w:rPr>
                <w:rtl w:val="0"/>
              </w:rPr>
            </w:r>
          </w:p>
        </w:tc>
        <w:tc>
          <w:tcPr/>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rtl w:val="0"/>
              </w:rPr>
              <w:t xml:space="preserve">+6012 220 5703</w:t>
            </w:r>
            <w:r w:rsidDel="00000000" w:rsidR="00000000" w:rsidRPr="00000000">
              <w:rPr>
                <w:rtl w:val="0"/>
              </w:rPr>
            </w:r>
          </w:p>
        </w:tc>
        <w:tc>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+6012 567 0129</w:t>
            </w:r>
          </w:p>
        </w:tc>
      </w:tr>
      <w:tr>
        <w:tc>
          <w:tcPr/>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rPr>
                <w:rFonts w:ascii="Arial" w:cs="Arial" w:eastAsia="Arial" w:hAnsi="Arial"/>
                <w:b w:val="1"/>
              </w:rPr>
            </w:pPr>
            <w:hyperlink r:id="rId7">
              <w:r w:rsidDel="00000000" w:rsidR="00000000" w:rsidRPr="00000000">
                <w:rPr>
                  <w:rFonts w:ascii="Arial" w:cs="Arial" w:eastAsia="Arial" w:hAnsi="Arial"/>
                  <w:color w:val="0000ff"/>
                  <w:u w:val="single"/>
                  <w:rtl w:val="0"/>
                </w:rPr>
                <w:t xml:space="preserve">elizabeth@madhat.asia</w:t>
              </w:r>
            </w:hyperlink>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00C">
            <w:pPr>
              <w:rPr>
                <w:rFonts w:ascii="Arial" w:cs="Arial" w:eastAsia="Arial" w:hAnsi="Arial"/>
                <w:color w:val="0000ff"/>
                <w:u w:val="single"/>
              </w:rPr>
            </w:pPr>
            <w:r w:rsidDel="00000000" w:rsidR="00000000" w:rsidRPr="00000000">
              <w:rPr>
                <w:rFonts w:ascii="Arial" w:cs="Arial" w:eastAsia="Arial" w:hAnsi="Arial"/>
                <w:color w:val="0000ff"/>
                <w:u w:val="single"/>
                <w:rtl w:val="0"/>
              </w:rPr>
              <w:t xml:space="preserve">nicole@madhat.asia</w:t>
            </w:r>
          </w:p>
        </w:tc>
      </w:tr>
    </w:tbl>
    <w:p w:rsidR="00000000" w:rsidDel="00000000" w:rsidP="00000000" w:rsidRDefault="00000000" w:rsidRPr="00000000" w14:paraId="0000000D">
      <w:pPr>
        <w:spacing w:after="0" w:line="240" w:lineRule="auto"/>
        <w:rPr>
          <w:rFonts w:ascii="Arial" w:cs="Arial" w:eastAsia="Arial" w:hAnsi="Arial"/>
          <w:b w:val="1"/>
          <w:smallCaps w:val="1"/>
          <w:color w:val="595959"/>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b w:val="1"/>
          <w:smallCaps w:val="1"/>
          <w:color w:val="595959"/>
        </w:rPr>
      </w:pPr>
      <w:r w:rsidDel="00000000" w:rsidR="00000000" w:rsidRPr="00000000">
        <w:rPr>
          <w:rtl w:val="0"/>
        </w:rPr>
      </w:r>
    </w:p>
    <w:p w:rsidR="00000000" w:rsidDel="00000000" w:rsidP="00000000" w:rsidRDefault="00000000" w:rsidRPr="00000000" w14:paraId="0000000F">
      <w:pPr>
        <w:spacing w:after="0" w:line="240" w:lineRule="auto"/>
        <w:jc w:val="center"/>
        <w:rPr>
          <w:rFonts w:ascii="Arial" w:cs="Arial" w:eastAsia="Arial" w:hAnsi="Arial"/>
          <w:b w:val="1"/>
          <w:color w:val="4f2170"/>
          <w:sz w:val="36"/>
          <w:szCs w:val="36"/>
        </w:rPr>
      </w:pPr>
      <w:r w:rsidDel="00000000" w:rsidR="00000000" w:rsidRPr="00000000">
        <w:rPr>
          <w:rFonts w:ascii="Arial" w:cs="Arial" w:eastAsia="Arial" w:hAnsi="Arial"/>
          <w:b w:val="1"/>
          <w:color w:val="4f2170"/>
          <w:sz w:val="36"/>
          <w:szCs w:val="36"/>
          <w:rtl w:val="0"/>
        </w:rPr>
        <w:t xml:space="preserve">#MakeSomethingGoodHappen bersama Cadbury </w:t>
      </w:r>
    </w:p>
    <w:p w:rsidR="00000000" w:rsidDel="00000000" w:rsidP="00000000" w:rsidRDefault="00000000" w:rsidRPr="00000000" w14:paraId="00000010">
      <w:pPr>
        <w:spacing w:after="0" w:line="240" w:lineRule="auto"/>
        <w:jc w:val="center"/>
        <w:rPr>
          <w:rFonts w:ascii="Arial" w:cs="Arial" w:eastAsia="Arial" w:hAnsi="Arial"/>
          <w:b w:val="1"/>
          <w:color w:val="4f2170"/>
          <w:sz w:val="36"/>
          <w:szCs w:val="36"/>
        </w:rPr>
      </w:pPr>
      <w:r w:rsidDel="00000000" w:rsidR="00000000" w:rsidRPr="00000000">
        <w:rPr>
          <w:rFonts w:ascii="Arial" w:cs="Arial" w:eastAsia="Arial" w:hAnsi="Arial"/>
          <w:b w:val="1"/>
          <w:color w:val="4f2170"/>
          <w:sz w:val="36"/>
          <w:szCs w:val="36"/>
          <w:rtl w:val="0"/>
        </w:rPr>
        <w:t xml:space="preserve">pada Ramadan ini</w:t>
      </w:r>
    </w:p>
    <w:p w:rsidR="00000000" w:rsidDel="00000000" w:rsidP="00000000" w:rsidRDefault="00000000" w:rsidRPr="00000000" w14:paraId="00000011">
      <w:pPr>
        <w:spacing w:after="0" w:line="240" w:lineRule="auto"/>
        <w:jc w:val="center"/>
        <w:rPr>
          <w:rFonts w:ascii="Arial" w:cs="Arial" w:eastAsia="Arial" w:hAnsi="Arial"/>
          <w:b w:val="1"/>
          <w:color w:val="4f2170"/>
          <w:sz w:val="24"/>
          <w:szCs w:val="24"/>
        </w:rPr>
      </w:pPr>
      <w:r w:rsidDel="00000000" w:rsidR="00000000" w:rsidRPr="00000000">
        <w:rPr>
          <w:rFonts w:ascii="Arial" w:cs="Arial" w:eastAsia="Arial" w:hAnsi="Arial"/>
          <w:b w:val="1"/>
          <w:color w:val="4f2170"/>
          <w:sz w:val="24"/>
          <w:szCs w:val="24"/>
          <w:rtl w:val="0"/>
        </w:rPr>
        <w:t xml:space="preserve">Cadbury Dairy Milk Malaysia memperkenalkan mesej baharu dengan kempen yang menggalakkan murah hati</w:t>
      </w:r>
    </w:p>
    <w:p w:rsidR="00000000" w:rsidDel="00000000" w:rsidP="00000000" w:rsidRDefault="00000000" w:rsidRPr="00000000" w14:paraId="00000012">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after="0" w:line="360" w:lineRule="auto"/>
        <w:rPr>
          <w:rFonts w:ascii="Arial" w:cs="Arial" w:eastAsia="Arial" w:hAnsi="Arial"/>
          <w:color w:val="595959"/>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Arial" w:cs="Arial" w:eastAsia="Arial" w:hAnsi="Arial"/>
          <w:highlight w:val="white"/>
        </w:rPr>
      </w:pPr>
      <w:r w:rsidDel="00000000" w:rsidR="00000000" w:rsidRPr="00000000">
        <w:rPr>
          <w:rFonts w:ascii="Arial" w:cs="Arial" w:eastAsia="Arial" w:hAnsi="Arial"/>
          <w:rtl w:val="0"/>
        </w:rPr>
        <w:t xml:space="preserve">KUALA LUMPUR, MALAYSIA. – 5 Jun 2019 – </w:t>
      </w:r>
      <w:r w:rsidDel="00000000" w:rsidR="00000000" w:rsidRPr="00000000">
        <w:rPr>
          <w:rFonts w:ascii="Arial" w:cs="Arial" w:eastAsia="Arial" w:hAnsi="Arial"/>
          <w:highlight w:val="white"/>
          <w:rtl w:val="0"/>
        </w:rPr>
        <w:t xml:space="preserve">Cadbury, jenama konfeksi paling laris di dunia di bawah Mondelēz International mengumumkan arah tuju tempatan baharu bertema Make Something Good Happen (Buat Sesuatu Yang Bagus) – mengenengahkan nilai-nilai kemanusiaan yang mengatasi segalanya untuk orang lain, optimis yang menggembirakan, yang mengejutkan orang lain dengan cara halus, orang ramai yang membentuk semangat “Buat Sesuatu Yang Bagus” dengan perlakuan murah hati kecil yang mendekatkan lagi semua orang antara satu dengan yang lain.</w:t>
      </w:r>
    </w:p>
    <w:p w:rsidR="00000000" w:rsidDel="00000000" w:rsidP="00000000" w:rsidRDefault="00000000" w:rsidRPr="00000000" w14:paraId="00000015">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Ketika kita berada di dalam bulan Ramadan yang mulia ini, Cadbury mahu melonjak ke hadapan dan menggerakkan nilai-nilai murah hati mereka terhadap komuniti. Musim perayaan ini mengajak rakyat Malaysia untuk bangkit dan meraikan kemurahan hati dan muhibah menerusi perkongsian makanan lazat, budaya dan masa berkualiti dengan orang tersayang. Dengan semangat ini di minda, Cadbury berbangga untuk mengumumkan kolaborasi mereka dengan Epic Homes pada Ramadan ini, sebuah projek yang mereka harap membolehkan dan menggalakkan rakyat Malaysia untuk turut sama menyumbang dan Buat Sesuatu Yang Bagus.</w:t>
      </w:r>
    </w:p>
    <w:p w:rsidR="00000000" w:rsidDel="00000000" w:rsidP="00000000" w:rsidRDefault="00000000" w:rsidRPr="00000000" w14:paraId="00000016">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Epic Homes, merupakan inisiatif utama oleh Epic, singkatan bagi Extraordinary People Impacting Communities (Orang Luar Biasa Memberi Impak Kepada Komuniti) yang bermatlamat membina kepercayaan dan hubungan dengan masyarakat terpinggir menerusi usaha pembinaan rumah. Epic Homes tertumpu kepada usaha menyediakan rumah untuk rakyat Malaysia yang tidak bernasib baik – dan kini bekerja bergandingan dengan masyarakat Orang Asli.</w:t>
      </w:r>
    </w:p>
    <w:p w:rsidR="00000000" w:rsidDel="00000000" w:rsidP="00000000" w:rsidRDefault="00000000" w:rsidRPr="00000000" w14:paraId="00000017">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Dengan lebih 12,000 ahli masyarakat Orang Asli pada masa ini mendiami perumahan yang tidak selamat, ia adalah penting semangat gotong–royong dijelmakan pada Ramadan ini. Cadbury Malaysia menyertai semangat murah hati ini dengan bergandingan tangan bersama EPIC Homes untuk membawa perubahan pada musim perayaan ini.</w:t>
      </w:r>
    </w:p>
    <w:p w:rsidR="00000000" w:rsidDel="00000000" w:rsidP="00000000" w:rsidRDefault="00000000" w:rsidRPr="00000000" w14:paraId="00000018">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Sejumlah RM100,00 akan disumbang terus kepada usaha pengilang coklat ini untuk buat sesuatu yang bagus, berlaku bersama EPIC Homes dengan setiap batang coklat Cadbury yang dibeli semasa tempoh kempen yang berlangsung dari Mei hingga Jun tahun ini.Cadbury Malaysia akan menumpukan usaha mereka ke arah pembinaan dua rumah stabil, suatu kolaborasi yang bukan sahaja antara jenama ini dengan EPIC Homes tetapi juga bakal penghuni kediaman tersebut.</w:t>
      </w:r>
    </w:p>
    <w:p w:rsidR="00000000" w:rsidDel="00000000" w:rsidP="00000000" w:rsidRDefault="00000000" w:rsidRPr="00000000" w14:paraId="00000019">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 “Cadbury telah berada di Malaysia untuk selama lebih 40 tahun dan sememangnya menjadi keutamaan kami untuk mengukuhkan kedudukan dan membina hubungan intrinsik dengan pelanggan kami. Dengan Cadbury Malaysia berterusan berusaha melangkah ke tahap lebih tinggi, kami berharap untuk menyokong masyarakat untuk sama-sama tumbuh dengan kami. Menerusi pembinaan rumah-rumah ini, kami mahu mentransformasi bukan sahaja kehidupan anggota masyarakat Orang Asli, tetapi juga sukarelawan kami sendiri dan pelanggan yang kami sayangi, untuk menyokong projek ini,’’ kata  Nisha Nair, Pengurus Jenama Cadbury Dairy Milk.</w:t>
      </w:r>
    </w:p>
    <w:p w:rsidR="00000000" w:rsidDel="00000000" w:rsidP="00000000" w:rsidRDefault="00000000" w:rsidRPr="00000000" w14:paraId="0000001A">
      <w:pPr>
        <w:spacing w:after="0" w:line="360" w:lineRule="auto"/>
        <w:ind w:firstLine="720"/>
        <w:rPr>
          <w:rFonts w:ascii="Arial" w:cs="Arial" w:eastAsia="Arial" w:hAnsi="Arial"/>
          <w:color w:val="ffffff"/>
          <w:highlight w:val="white"/>
        </w:rPr>
      </w:pPr>
      <w:r w:rsidDel="00000000" w:rsidR="00000000" w:rsidRPr="00000000">
        <w:rPr>
          <w:rFonts w:ascii="Arial" w:cs="Arial" w:eastAsia="Arial" w:hAnsi="Arial"/>
          <w:highlight w:val="white"/>
          <w:rtl w:val="0"/>
        </w:rPr>
        <w:t xml:space="preserve">Sebagai entiti yang menerajui contoh kepimpinan, pasukan Cadbury Malaysia akan menggandakan usaha mereka bagi program Buat Sesuatu Yang Bagus dengan memperuntukkan masa mereka ke arah pembinaan rumah-rumah berkenaan. Di bawah panduan mahir pasukan Epic Homes, seramai 60 sukarelawan, terdiri daripada ahli keluarga Epic Homes, menyasar untuk menyiapkan kedua-dua rumah itu dalam </w:t>
      </w:r>
      <w:r w:rsidDel="00000000" w:rsidR="00000000" w:rsidRPr="00000000">
        <w:rPr>
          <w:rFonts w:ascii="Arial" w:cs="Arial" w:eastAsia="Arial" w:hAnsi="Arial"/>
          <w:highlight w:val="white"/>
          <w:rtl w:val="0"/>
        </w:rPr>
        <w:t xml:space="preserve">tempoh 3 hari</w:t>
      </w:r>
      <w:r w:rsidDel="00000000" w:rsidR="00000000" w:rsidRPr="00000000">
        <w:rPr>
          <w:rFonts w:ascii="Arial" w:cs="Arial" w:eastAsia="Arial" w:hAnsi="Arial"/>
          <w:color w:val="ffffff"/>
          <w:highlight w:val="white"/>
          <w:rtl w:val="0"/>
        </w:rPr>
        <w:t xml:space="preserve">. </w:t>
      </w:r>
    </w:p>
    <w:p w:rsidR="00000000" w:rsidDel="00000000" w:rsidP="00000000" w:rsidRDefault="00000000" w:rsidRPr="00000000" w14:paraId="0000001B">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“Kami benar-benar berasa rendah diri dapat bekerja dengan jenama terkemuka seperti Cadbury Malaysia. Kami sangat gembira menyaksikan rumah-rumah dibina hasil kolaborasi kami dan gelombang impak dan inspirasi yang akan dibawa oleh projek ini,’’ kata </w:t>
      </w:r>
      <w:r w:rsidDel="00000000" w:rsidR="00000000" w:rsidRPr="00000000">
        <w:rPr>
          <w:rFonts w:ascii="Arial" w:cs="Arial" w:eastAsia="Arial" w:hAnsi="Arial"/>
          <w:rtl w:val="0"/>
        </w:rPr>
        <w:t xml:space="preserve">John-Son Oei,</w:t>
      </w:r>
      <w:r w:rsidDel="00000000" w:rsidR="00000000" w:rsidRPr="00000000">
        <w:rPr>
          <w:rFonts w:ascii="Arial" w:cs="Arial" w:eastAsia="Arial" w:hAnsi="Arial"/>
          <w:highlight w:val="white"/>
          <w:rtl w:val="0"/>
        </w:rPr>
        <w:t xml:space="preserve"> Pengasas dan CEO Epic Collective.</w:t>
      </w:r>
    </w:p>
    <w:p w:rsidR="00000000" w:rsidDel="00000000" w:rsidP="00000000" w:rsidRDefault="00000000" w:rsidRPr="00000000" w14:paraId="0000001C">
      <w:pPr>
        <w:spacing w:after="0" w:line="360" w:lineRule="auto"/>
        <w:ind w:firstLine="720"/>
        <w:rPr>
          <w:rFonts w:ascii="Arial" w:cs="Arial" w:eastAsia="Arial" w:hAnsi="Arial"/>
          <w:highlight w:val="white"/>
        </w:rPr>
      </w:pPr>
      <w:r w:rsidDel="00000000" w:rsidR="00000000" w:rsidRPr="00000000">
        <w:rPr>
          <w:rFonts w:ascii="Arial" w:cs="Arial" w:eastAsia="Arial" w:hAnsi="Arial"/>
          <w:highlight w:val="white"/>
          <w:rtl w:val="0"/>
        </w:rPr>
        <w:t xml:space="preserve">Teroka bagaimana #MakeSomethingGoodHappen dengan Cadbury musim ini, dari halaman Facebook mereka di </w:t>
      </w:r>
      <w:hyperlink r:id="rId8">
        <w:r w:rsidDel="00000000" w:rsidR="00000000" w:rsidRPr="00000000">
          <w:rPr>
            <w:rFonts w:ascii="Arial" w:cs="Arial" w:eastAsia="Arial" w:hAnsi="Arial"/>
            <w:color w:val="1155cc"/>
            <w:highlight w:val="white"/>
            <w:u w:val="single"/>
            <w:rtl w:val="0"/>
          </w:rPr>
          <w:t xml:space="preserve">https://www.facebook.com/CadburyMalaysia</w:t>
        </w:r>
      </w:hyperlink>
      <w:r w:rsidDel="00000000" w:rsidR="00000000" w:rsidRPr="00000000">
        <w:rPr>
          <w:rFonts w:ascii="Arial" w:cs="Arial" w:eastAsia="Arial" w:hAnsi="Arial"/>
          <w:highlight w:val="white"/>
          <w:rtl w:val="0"/>
        </w:rPr>
        <w:t xml:space="preserve">. Untuk maklumat lanjut mengenai Epic Homes, sila lawat </w:t>
      </w:r>
      <w:hyperlink r:id="rId9">
        <w:r w:rsidDel="00000000" w:rsidR="00000000" w:rsidRPr="00000000">
          <w:rPr>
            <w:rFonts w:ascii="Arial" w:cs="Arial" w:eastAsia="Arial" w:hAnsi="Arial"/>
            <w:color w:val="1155cc"/>
            <w:highlight w:val="white"/>
            <w:u w:val="single"/>
            <w:rtl w:val="0"/>
          </w:rPr>
          <w:t xml:space="preserve">www.epichome.org</w:t>
        </w:r>
      </w:hyperlink>
      <w:r w:rsidDel="00000000" w:rsidR="00000000" w:rsidRPr="00000000">
        <w:rPr>
          <w:rFonts w:ascii="Arial" w:cs="Arial" w:eastAsia="Arial" w:hAnsi="Arial"/>
          <w:highlight w:val="white"/>
          <w:rtl w:val="0"/>
        </w:rPr>
        <w:t xml:space="preserve"> . atau laman facebook mereka di </w:t>
      </w:r>
      <w:hyperlink r:id="rId10">
        <w:r w:rsidDel="00000000" w:rsidR="00000000" w:rsidRPr="00000000">
          <w:rPr>
            <w:rFonts w:ascii="Arial" w:cs="Arial" w:eastAsia="Arial" w:hAnsi="Arial"/>
            <w:color w:val="1155cc"/>
            <w:highlight w:val="white"/>
            <w:u w:val="single"/>
            <w:rtl w:val="0"/>
          </w:rPr>
          <w:t xml:space="preserve">https://www.facebook.com/epicarmy/ </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D">
      <w:pPr>
        <w:spacing w:after="0" w:line="360" w:lineRule="auto"/>
        <w:ind w:firstLine="720"/>
        <w:rPr>
          <w:rFonts w:ascii="Arial" w:cs="Arial" w:eastAsia="Arial" w:hAnsi="Arial"/>
          <w:highlight w:val="white"/>
        </w:rPr>
      </w:pPr>
      <w:r w:rsidDel="00000000" w:rsidR="00000000" w:rsidRPr="00000000">
        <w:rPr>
          <w:rtl w:val="0"/>
        </w:rPr>
      </w:r>
    </w:p>
    <w:p w:rsidR="00000000" w:rsidDel="00000000" w:rsidP="00000000" w:rsidRDefault="00000000" w:rsidRPr="00000000" w14:paraId="0000001E">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1F">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2">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jc w:val="both"/>
        <w:rPr>
          <w:rFonts w:ascii="Cambria" w:cs="Cambria" w:eastAsia="Cambria" w:hAnsi="Cambria"/>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24">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Malaysia</w:t>
      </w:r>
    </w:p>
    <w:p w:rsidR="00000000" w:rsidDel="00000000" w:rsidP="00000000" w:rsidRDefault="00000000" w:rsidRPr="00000000" w14:paraId="00000026">
      <w:pPr>
        <w:spacing w:after="0" w:lineRule="auto"/>
        <w:jc w:val="both"/>
        <w:rPr>
          <w:rFonts w:ascii="Arial" w:cs="Arial" w:eastAsia="Arial" w:hAnsi="Arial"/>
        </w:rPr>
      </w:pPr>
      <w:r w:rsidDel="00000000" w:rsidR="00000000" w:rsidRPr="00000000">
        <w:rPr>
          <w:rFonts w:ascii="Arial" w:cs="Arial" w:eastAsia="Arial" w:hAnsi="Arial"/>
          <w:rtl w:val="0"/>
        </w:rPr>
        <w:t xml:space="preserve">Mondelēz International (Malaysia) is part of the Mondelēz International group of companies which empowers people to snack right across 8 countries within Southeast Asia. With three manufacturing plants in Shah Alam and Prai, Mondelēz is leading the future of snacking through our iconic and well-loved brands such as Oreo, belVita, Cadbury Dairy Milk, Tiger Biskuat, Jacob’s, Chipsmore, Choclairs and Twisties. The guaranteed quality, safety and taste of our wholesome snacks ensure that all our consumers will be able to reach for the right snack, for the right moment, made the right way. Visit </w:t>
      </w:r>
      <w:hyperlink r:id="rId11">
        <w:r w:rsidDel="00000000" w:rsidR="00000000" w:rsidRPr="00000000">
          <w:rPr>
            <w:rFonts w:ascii="Arial" w:cs="Arial" w:eastAsia="Arial" w:hAnsi="Arial"/>
            <w:color w:val="0000ff"/>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2">
        <w:r w:rsidDel="00000000" w:rsidR="00000000" w:rsidRPr="00000000">
          <w:rPr>
            <w:rFonts w:ascii="Arial" w:cs="Arial" w:eastAsia="Arial" w:hAnsi="Arial"/>
            <w:color w:val="0000ff"/>
            <w:u w:val="single"/>
            <w:rtl w:val="0"/>
          </w:rPr>
          <w:t xml:space="preserve">www.twitter.com/MDLZ</w:t>
        </w:r>
      </w:hyperlink>
      <w:r w:rsidDel="00000000" w:rsidR="00000000" w:rsidRPr="00000000">
        <w:rPr>
          <w:rFonts w:ascii="Arial" w:cs="Arial" w:eastAsia="Arial" w:hAnsi="Arial"/>
          <w:rtl w:val="0"/>
        </w:rPr>
        <w:t xml:space="preserve">.</w:t>
      </w:r>
    </w:p>
    <w:p w:rsidR="00000000" w:rsidDel="00000000" w:rsidP="00000000" w:rsidRDefault="00000000" w:rsidRPr="00000000" w14:paraId="0000002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b w:val="1"/>
          <w:u w:val="single"/>
          <w:rtl w:val="0"/>
        </w:rPr>
        <w:t xml:space="preserve">About Epic</w:t>
        <w:br w:type="textWrapping"/>
      </w:r>
      <w:r w:rsidDel="00000000" w:rsidR="00000000" w:rsidRPr="00000000">
        <w:rPr>
          <w:rFonts w:ascii="Arial" w:cs="Arial" w:eastAsia="Arial" w:hAnsi="Arial"/>
          <w:rtl w:val="0"/>
        </w:rPr>
        <w:t xml:space="preserve">Epic is a social enterprise that creates platforms that inspire, mobilise and empower people of personal and community transformation. Visit </w:t>
      </w:r>
      <w:hyperlink r:id="rId13">
        <w:r w:rsidDel="00000000" w:rsidR="00000000" w:rsidRPr="00000000">
          <w:rPr>
            <w:rFonts w:ascii="Arial" w:cs="Arial" w:eastAsia="Arial" w:hAnsi="Arial"/>
            <w:b w:val="1"/>
            <w:color w:val="1155cc"/>
            <w:u w:val="single"/>
            <w:rtl w:val="0"/>
          </w:rPr>
          <w:t xml:space="preserve">http://epic.my/</w:t>
        </w:r>
      </w:hyperlink>
      <w:r w:rsidDel="00000000" w:rsidR="00000000" w:rsidRPr="00000000">
        <w:rPr>
          <w:rFonts w:ascii="Arial" w:cs="Arial" w:eastAsia="Arial" w:hAnsi="Arial"/>
          <w:rtl w:val="0"/>
        </w:rPr>
        <w:t xml:space="preserve"> for more information.</w:t>
      </w:r>
    </w:p>
    <w:p w:rsidR="00000000" w:rsidDel="00000000" w:rsidP="00000000" w:rsidRDefault="00000000" w:rsidRPr="00000000" w14:paraId="00000029">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Epic Homes</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Epic Homes is the flagship initiative by Epic that aims to build relationships with marginalised communities in order to create cooperative, resilient and sustainable communities through the act of building homes. Epic Homes is focused on providing homes for the unprivileged Malaysians - starting with Malaysia's indigenous population, the Orang Asli. Visit  </w:t>
      </w:r>
      <w:hyperlink r:id="rId14">
        <w:r w:rsidDel="00000000" w:rsidR="00000000" w:rsidRPr="00000000">
          <w:rPr>
            <w:rFonts w:ascii="Arial" w:cs="Arial" w:eastAsia="Arial" w:hAnsi="Arial"/>
            <w:b w:val="1"/>
            <w:color w:val="1155cc"/>
            <w:u w:val="single"/>
            <w:rtl w:val="0"/>
          </w:rPr>
          <w:t xml:space="preserve">https://www.epichome.org</w:t>
        </w:r>
      </w:hyperlink>
      <w:r w:rsidDel="00000000" w:rsidR="00000000" w:rsidRPr="00000000">
        <w:rPr>
          <w:rFonts w:ascii="Arial" w:cs="Arial" w:eastAsia="Arial" w:hAnsi="Arial"/>
          <w:rtl w:val="0"/>
        </w:rPr>
        <w:t xml:space="preserve"> for more information or follow the company on Facebook </w:t>
      </w:r>
      <w:hyperlink r:id="rId15">
        <w:r w:rsidDel="00000000" w:rsidR="00000000" w:rsidRPr="00000000">
          <w:rPr>
            <w:rFonts w:ascii="Arial" w:cs="Arial" w:eastAsia="Arial" w:hAnsi="Arial"/>
            <w:b w:val="1"/>
            <w:color w:val="1155cc"/>
            <w:u w:val="single"/>
            <w:rtl w:val="0"/>
          </w:rPr>
          <w:t xml:space="preserve">https://www.facebook.com/EpicHomesMY</w:t>
        </w:r>
      </w:hyperlink>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B">
      <w:pPr>
        <w:jc w:val="both"/>
        <w:rPr>
          <w:rFonts w:ascii="Arial" w:cs="Arial" w:eastAsia="Arial" w:hAnsi="Arial"/>
          <w:strike w:val="1"/>
        </w:rPr>
      </w:pPr>
      <w:r w:rsidDel="00000000" w:rsidR="00000000" w:rsidRPr="00000000">
        <w:rPr>
          <w:rtl w:val="0"/>
        </w:rPr>
      </w:r>
    </w:p>
    <w:p w:rsidR="00000000" w:rsidDel="00000000" w:rsidP="00000000" w:rsidRDefault="00000000" w:rsidRPr="00000000" w14:paraId="0000002C">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International</w:t>
      </w:r>
    </w:p>
    <w:p w:rsidR="00000000" w:rsidDel="00000000" w:rsidP="00000000" w:rsidRDefault="00000000" w:rsidRPr="00000000" w14:paraId="0000002D">
      <w:pPr>
        <w:spacing w:after="60" w:line="240" w:lineRule="auto"/>
        <w:ind w:firstLine="720"/>
        <w:jc w:val="both"/>
        <w:rPr>
          <w:rFonts w:ascii="Arial" w:cs="Arial" w:eastAsia="Arial" w:hAnsi="Arial"/>
        </w:rPr>
      </w:pPr>
      <w:r w:rsidDel="00000000" w:rsidR="00000000" w:rsidRPr="00000000">
        <w:rPr>
          <w:rFonts w:ascii="Arial" w:cs="Arial" w:eastAsia="Arial" w:hAnsi="Arial"/>
          <w:rtl w:val="0"/>
        </w:rPr>
        <w:t xml:space="preserve">Mondelēz International, Inc. (NASDAQ: MDLZ) empowers people to snack right in approximately 160 countries around the world. With 2017 net revenues of approximately $26 billion, MDLZ is leading the future of snacking with iconic global and local brands such as </w:t>
      </w:r>
      <w:r w:rsidDel="00000000" w:rsidR="00000000" w:rsidRPr="00000000">
        <w:rPr>
          <w:rFonts w:ascii="Arial" w:cs="Arial" w:eastAsia="Arial" w:hAnsi="Arial"/>
          <w:i w:val="1"/>
          <w:rtl w:val="0"/>
        </w:rPr>
        <w:t xml:space="preserve">Oreo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belVita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LU</w:t>
      </w:r>
      <w:r w:rsidDel="00000000" w:rsidR="00000000" w:rsidRPr="00000000">
        <w:rPr>
          <w:rFonts w:ascii="Arial" w:cs="Arial" w:eastAsia="Arial" w:hAnsi="Arial"/>
          <w:rtl w:val="0"/>
        </w:rPr>
        <w:t xml:space="preserve"> biscuits; </w:t>
      </w:r>
      <w:r w:rsidDel="00000000" w:rsidR="00000000" w:rsidRPr="00000000">
        <w:rPr>
          <w:rFonts w:ascii="Arial" w:cs="Arial" w:eastAsia="Arial" w:hAnsi="Arial"/>
          <w:i w:val="1"/>
          <w:rtl w:val="0"/>
        </w:rPr>
        <w:t xml:space="preserve">Cadbury Dairy Milk</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Milka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Toblerone</w:t>
      </w:r>
      <w:r w:rsidDel="00000000" w:rsidR="00000000" w:rsidRPr="00000000">
        <w:rPr>
          <w:rFonts w:ascii="Arial" w:cs="Arial" w:eastAsia="Arial" w:hAnsi="Arial"/>
          <w:rtl w:val="0"/>
        </w:rPr>
        <w:t xml:space="preserve"> chocolate; </w:t>
      </w:r>
      <w:r w:rsidDel="00000000" w:rsidR="00000000" w:rsidRPr="00000000">
        <w:rPr>
          <w:rFonts w:ascii="Arial" w:cs="Arial" w:eastAsia="Arial" w:hAnsi="Arial"/>
          <w:i w:val="1"/>
          <w:rtl w:val="0"/>
        </w:rPr>
        <w:t xml:space="preserve">Sour Patch Kids</w:t>
      </w:r>
      <w:r w:rsidDel="00000000" w:rsidR="00000000" w:rsidRPr="00000000">
        <w:rPr>
          <w:rFonts w:ascii="Arial" w:cs="Arial" w:eastAsia="Arial" w:hAnsi="Arial"/>
          <w:rtl w:val="0"/>
        </w:rPr>
        <w:t xml:space="preserve"> candy and </w:t>
      </w:r>
      <w:r w:rsidDel="00000000" w:rsidR="00000000" w:rsidRPr="00000000">
        <w:rPr>
          <w:rFonts w:ascii="Arial" w:cs="Arial" w:eastAsia="Arial" w:hAnsi="Arial"/>
          <w:i w:val="1"/>
          <w:rtl w:val="0"/>
        </w:rPr>
        <w:t xml:space="preserve">Trident</w:t>
      </w:r>
      <w:r w:rsidDel="00000000" w:rsidR="00000000" w:rsidRPr="00000000">
        <w:rPr>
          <w:rFonts w:ascii="Arial" w:cs="Arial" w:eastAsia="Arial" w:hAnsi="Arial"/>
          <w:rtl w:val="0"/>
        </w:rPr>
        <w:t xml:space="preserve"> gum. Mondelēz International is a proud member of the Standard and Poor’s 500, Nasdaq 100 and Dow Jones Sustainability Index. Visit </w:t>
      </w:r>
      <w:hyperlink r:id="rId16">
        <w:r w:rsidDel="00000000" w:rsidR="00000000" w:rsidRPr="00000000">
          <w:rPr>
            <w:rFonts w:ascii="Arial" w:cs="Arial" w:eastAsia="Arial" w:hAnsi="Arial"/>
            <w:color w:val="0000ff"/>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7">
        <w:r w:rsidDel="00000000" w:rsidR="00000000" w:rsidRPr="00000000">
          <w:rPr>
            <w:rFonts w:ascii="Arial" w:cs="Arial" w:eastAsia="Arial" w:hAnsi="Arial"/>
            <w:color w:val="0000ff"/>
            <w:u w:val="single"/>
            <w:rtl w:val="0"/>
          </w:rPr>
          <w:t xml:space="preserve">www.twitter.com/MDLZ</w:t>
        </w:r>
      </w:hyperlink>
      <w:r w:rsidDel="00000000" w:rsidR="00000000" w:rsidRPr="00000000">
        <w:rPr>
          <w:rFonts w:ascii="Arial" w:cs="Arial" w:eastAsia="Arial" w:hAnsi="Arial"/>
          <w:rtl w:val="0"/>
        </w:rPr>
        <w:t xml:space="preserve">.</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jc w:val="both"/>
        <w:rPr>
          <w:rFonts w:ascii="Cambria" w:cs="Cambria" w:eastAsia="Cambria" w:hAnsi="Cambria"/>
        </w:rPr>
      </w:pPr>
      <w:r w:rsidDel="00000000" w:rsidR="00000000" w:rsidRPr="00000000">
        <w:rPr>
          <w:rFonts w:ascii="Cambria" w:cs="Cambria" w:eastAsia="Cambria" w:hAnsi="Cambria"/>
          <w:sz w:val="24"/>
          <w:szCs w:val="24"/>
        </w:rPr>
        <w:drawing>
          <wp:inline distB="0" distT="0" distL="0" distR="0">
            <wp:extent cx="2148205" cy="232410"/>
            <wp:effectExtent b="0" l="0" r="0" t="0"/>
            <wp:docPr descr="escription: https://lh5.googleusercontent.com/LVxFsZC4m7iZZbC5Ykrz19" id="2" name="image2.png"/>
            <a:graphic>
              <a:graphicData uri="http://schemas.openxmlformats.org/drawingml/2006/picture">
                <pic:pic>
                  <pic:nvPicPr>
                    <pic:cNvPr descr="escription: https://lh5.googleusercontent.com/LVxFsZC4m7iZZbC5Ykrz19" id="0" name="image2.png"/>
                    <pic:cNvPicPr preferRelativeResize="0"/>
                  </pic:nvPicPr>
                  <pic:blipFill>
                    <a:blip r:embed="rId18"/>
                    <a:srcRect b="0" l="0" r="0" t="0"/>
                    <a:stretch>
                      <a:fillRect/>
                    </a:stretch>
                  </pic:blipFill>
                  <pic:spPr>
                    <a:xfrm>
                      <a:off x="0" y="0"/>
                      <a:ext cx="2148205" cy="23241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0" w:line="360" w:lineRule="auto"/>
        <w:ind w:firstLine="720"/>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360" w:lineRule="auto"/>
        <w:rPr>
          <w:rFonts w:ascii="Arial" w:cs="Arial" w:eastAsia="Arial" w:hAnsi="Arial"/>
          <w:color w:val="595959"/>
        </w:rPr>
      </w:pPr>
      <w:r w:rsidDel="00000000" w:rsidR="00000000" w:rsidRPr="00000000">
        <w:rPr>
          <w:rtl w:val="0"/>
        </w:rPr>
      </w:r>
    </w:p>
    <w:p w:rsidR="00000000" w:rsidDel="00000000" w:rsidP="00000000" w:rsidRDefault="00000000" w:rsidRPr="00000000" w14:paraId="00000032">
      <w:pPr>
        <w:spacing w:after="0" w:line="360" w:lineRule="auto"/>
        <w:jc w:val="center"/>
        <w:rPr>
          <w:rFonts w:ascii="Arial" w:cs="Arial" w:eastAsia="Arial" w:hAnsi="Arial"/>
          <w:color w:val="595959"/>
        </w:rPr>
      </w:pPr>
      <w:r w:rsidDel="00000000" w:rsidR="00000000" w:rsidRPr="00000000">
        <w:rPr>
          <w:rtl w:val="0"/>
        </w:rPr>
      </w:r>
    </w:p>
    <w:sectPr>
      <w:footerReference r:id="rId19" w:type="default"/>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ambr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Verdana" w:cs="Verdana" w:eastAsia="Verdana" w:hAnsi="Verdana"/>
        <w:color w:val="000000"/>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s-MY"/>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0" w:line="240" w:lineRule="auto"/>
      <w:ind w:left="720"/>
    </w:pPr>
    <w:rPr>
      <w:rFonts w:ascii="Times New Roman" w:cs="Times New Roman" w:eastAsia="Times New Roman" w:hAnsi="Times New Roman"/>
      <w:color w:val="000000"/>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ondelezinternational.com" TargetMode="External"/><Relationship Id="rId10" Type="http://schemas.openxmlformats.org/officeDocument/2006/relationships/hyperlink" Target="https://www.facebook.com/epicarmy/" TargetMode="External"/><Relationship Id="rId13" Type="http://schemas.openxmlformats.org/officeDocument/2006/relationships/hyperlink" Target="http://epic.my/" TargetMode="External"/><Relationship Id="rId12" Type="http://schemas.openxmlformats.org/officeDocument/2006/relationships/hyperlink" Target="http://www.twitter.com/MDL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pichome.org" TargetMode="External"/><Relationship Id="rId15" Type="http://schemas.openxmlformats.org/officeDocument/2006/relationships/hyperlink" Target="https://www.facebook.com/EpicHomesMY" TargetMode="External"/><Relationship Id="rId14" Type="http://schemas.openxmlformats.org/officeDocument/2006/relationships/hyperlink" Target="https://www.epichome.org" TargetMode="External"/><Relationship Id="rId17" Type="http://schemas.openxmlformats.org/officeDocument/2006/relationships/hyperlink" Target="http://www.twitter.com/MDLZ" TargetMode="External"/><Relationship Id="rId16" Type="http://schemas.openxmlformats.org/officeDocument/2006/relationships/hyperlink" Target="http://www.mondelezinternational.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jpg"/><Relationship Id="rId18" Type="http://schemas.openxmlformats.org/officeDocument/2006/relationships/image" Target="media/image2.png"/><Relationship Id="rId7" Type="http://schemas.openxmlformats.org/officeDocument/2006/relationships/hyperlink" Target="mailto:elizabeth@madhat.asia" TargetMode="External"/><Relationship Id="rId8" Type="http://schemas.openxmlformats.org/officeDocument/2006/relationships/hyperlink" Target="https://www.facebook.com/CadburyMala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